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lang w:val="en-US" w:eastAsia="zh-CN"/>
        </w:rPr>
      </w:pPr>
      <w:r>
        <w:rPr>
          <w:rFonts w:hint="eastAsia"/>
          <w:b/>
          <w:bCs/>
          <w:sz w:val="28"/>
          <w:szCs w:val="28"/>
          <w:lang w:val="en-US" w:eastAsia="zh-CN"/>
        </w:rPr>
        <w:t>浙江医院三墩院区液氧、液氮及医用瓶装气体采购需求</w:t>
      </w:r>
    </w:p>
    <w:p>
      <w:pPr>
        <w:rPr>
          <w:rFonts w:hint="eastAsia"/>
          <w:sz w:val="21"/>
          <w:szCs w:val="21"/>
          <w:lang w:val="en-US" w:eastAsia="zh-CN"/>
        </w:rPr>
      </w:pPr>
    </w:p>
    <w:p>
      <w:pPr>
        <w:numPr>
          <w:ilvl w:val="0"/>
          <w:numId w:val="1"/>
        </w:numPr>
        <w:rPr>
          <w:rFonts w:hint="eastAsia"/>
          <w:b/>
          <w:bCs/>
          <w:sz w:val="21"/>
          <w:szCs w:val="21"/>
          <w:lang w:val="en-US" w:eastAsia="zh-CN"/>
        </w:rPr>
      </w:pPr>
      <w:r>
        <w:rPr>
          <w:rFonts w:hint="eastAsia"/>
          <w:b/>
          <w:bCs/>
          <w:sz w:val="21"/>
          <w:szCs w:val="21"/>
          <w:lang w:val="en-US" w:eastAsia="zh-CN"/>
        </w:rPr>
        <w:t>采购需求清单</w:t>
      </w:r>
    </w:p>
    <w:p>
      <w:pPr>
        <w:widowControl w:val="0"/>
        <w:numPr>
          <w:ilvl w:val="0"/>
          <w:numId w:val="0"/>
        </w:numPr>
        <w:jc w:val="both"/>
        <w:rPr>
          <w:rFonts w:hint="default"/>
          <w:sz w:val="21"/>
          <w:szCs w:val="21"/>
          <w:lang w:val="en-US" w:eastAsia="zh-CN"/>
        </w:rPr>
      </w:pPr>
    </w:p>
    <w:tbl>
      <w:tblPr>
        <w:tblStyle w:val="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1"/>
        <w:gridCol w:w="2109"/>
        <w:gridCol w:w="1425"/>
        <w:gridCol w:w="1290"/>
        <w:gridCol w:w="1540"/>
        <w:gridCol w:w="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exact"/>
          <w:jc w:val="center"/>
        </w:trPr>
        <w:tc>
          <w:tcPr>
            <w:tcW w:w="602" w:type="pct"/>
            <w:tcBorders>
              <w:tl2br w:val="nil"/>
              <w:tr2bl w:val="nil"/>
            </w:tcBorders>
            <w:shd w:val="clear" w:color="auto" w:fill="FFFFFF"/>
            <w:vAlign w:val="center"/>
          </w:tcPr>
          <w:p>
            <w:pPr>
              <w:jc w:val="center"/>
              <w:rPr>
                <w:sz w:val="21"/>
                <w:szCs w:val="21"/>
              </w:rPr>
            </w:pPr>
            <w:r>
              <w:rPr>
                <w:sz w:val="21"/>
                <w:szCs w:val="21"/>
              </w:rPr>
              <w:t>序号</w:t>
            </w:r>
          </w:p>
        </w:tc>
        <w:tc>
          <w:tcPr>
            <w:tcW w:w="1267" w:type="pct"/>
            <w:tcBorders>
              <w:tl2br w:val="nil"/>
              <w:tr2bl w:val="nil"/>
            </w:tcBorders>
            <w:shd w:val="clear" w:color="auto" w:fill="FFFFFF"/>
            <w:vAlign w:val="center"/>
          </w:tcPr>
          <w:p>
            <w:pPr>
              <w:jc w:val="center"/>
              <w:rPr>
                <w:sz w:val="21"/>
                <w:szCs w:val="21"/>
              </w:rPr>
            </w:pPr>
            <w:r>
              <w:rPr>
                <w:sz w:val="21"/>
                <w:szCs w:val="21"/>
              </w:rPr>
              <w:t>货物名称</w:t>
            </w:r>
          </w:p>
        </w:tc>
        <w:tc>
          <w:tcPr>
            <w:tcW w:w="856" w:type="pct"/>
            <w:tcBorders>
              <w:tl2br w:val="nil"/>
              <w:tr2bl w:val="nil"/>
            </w:tcBorders>
            <w:shd w:val="clear" w:color="auto" w:fill="FFFFFF"/>
            <w:vAlign w:val="center"/>
          </w:tcPr>
          <w:p>
            <w:pPr>
              <w:jc w:val="center"/>
              <w:rPr>
                <w:sz w:val="21"/>
                <w:szCs w:val="21"/>
              </w:rPr>
            </w:pPr>
            <w:r>
              <w:rPr>
                <w:sz w:val="21"/>
                <w:szCs w:val="21"/>
              </w:rPr>
              <w:t>数量</w:t>
            </w:r>
          </w:p>
        </w:tc>
        <w:tc>
          <w:tcPr>
            <w:tcW w:w="775" w:type="pct"/>
            <w:tcBorders>
              <w:tl2br w:val="nil"/>
              <w:tr2bl w:val="nil"/>
            </w:tcBorders>
            <w:shd w:val="clear" w:color="auto" w:fill="FFFFFF"/>
            <w:vAlign w:val="center"/>
          </w:tcPr>
          <w:p>
            <w:pPr>
              <w:jc w:val="center"/>
              <w:rPr>
                <w:sz w:val="21"/>
                <w:szCs w:val="21"/>
              </w:rPr>
            </w:pPr>
            <w:r>
              <w:rPr>
                <w:sz w:val="21"/>
                <w:szCs w:val="21"/>
              </w:rPr>
              <w:t>单位</w:t>
            </w:r>
          </w:p>
        </w:tc>
        <w:tc>
          <w:tcPr>
            <w:tcW w:w="925" w:type="pct"/>
            <w:tcBorders>
              <w:tl2br w:val="nil"/>
              <w:tr2bl w:val="nil"/>
            </w:tcBorders>
            <w:shd w:val="clear" w:color="auto" w:fill="FFFFFF"/>
            <w:vAlign w:val="center"/>
          </w:tcPr>
          <w:p>
            <w:pPr>
              <w:jc w:val="center"/>
              <w:rPr>
                <w:sz w:val="21"/>
                <w:szCs w:val="21"/>
              </w:rPr>
            </w:pPr>
            <w:r>
              <w:rPr>
                <w:sz w:val="21"/>
                <w:szCs w:val="21"/>
              </w:rPr>
              <w:t>单价（元）</w:t>
            </w:r>
          </w:p>
        </w:tc>
        <w:tc>
          <w:tcPr>
            <w:tcW w:w="573" w:type="pct"/>
            <w:tcBorders>
              <w:tl2br w:val="nil"/>
              <w:tr2bl w:val="nil"/>
            </w:tcBorders>
            <w:shd w:val="clear" w:color="auto" w:fill="FFFFFF"/>
            <w:vAlign w:val="center"/>
          </w:tcPr>
          <w:p>
            <w:pPr>
              <w:jc w:val="center"/>
              <w:rPr>
                <w:sz w:val="21"/>
                <w:szCs w:val="21"/>
              </w:rPr>
            </w:pPr>
            <w:r>
              <w:rPr>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6" w:hRule="exact"/>
          <w:jc w:val="center"/>
        </w:trPr>
        <w:tc>
          <w:tcPr>
            <w:tcW w:w="602" w:type="pct"/>
            <w:tcBorders>
              <w:tl2br w:val="nil"/>
              <w:tr2bl w:val="nil"/>
            </w:tcBorders>
            <w:shd w:val="clear" w:color="auto" w:fill="FFFFFF"/>
            <w:vAlign w:val="center"/>
          </w:tcPr>
          <w:p>
            <w:pPr>
              <w:jc w:val="center"/>
              <w:rPr>
                <w:rFonts w:hint="default"/>
                <w:sz w:val="21"/>
                <w:szCs w:val="21"/>
                <w:lang w:val="en-US" w:eastAsia="zh-CN"/>
              </w:rPr>
            </w:pPr>
            <w:r>
              <w:rPr>
                <w:rFonts w:hint="eastAsia"/>
                <w:sz w:val="21"/>
                <w:szCs w:val="21"/>
                <w:lang w:val="en-US" w:eastAsia="zh-CN"/>
              </w:rPr>
              <w:t>1</w:t>
            </w:r>
          </w:p>
        </w:tc>
        <w:tc>
          <w:tcPr>
            <w:tcW w:w="1267" w:type="pct"/>
            <w:tcBorders>
              <w:tl2br w:val="nil"/>
              <w:tr2bl w:val="nil"/>
            </w:tcBorders>
            <w:shd w:val="clear" w:color="auto" w:fill="FFFFFF"/>
            <w:vAlign w:val="center"/>
          </w:tcPr>
          <w:p>
            <w:pPr>
              <w:jc w:val="center"/>
              <w:rPr>
                <w:sz w:val="21"/>
                <w:szCs w:val="21"/>
              </w:rPr>
            </w:pPr>
            <w:r>
              <w:rPr>
                <w:sz w:val="21"/>
                <w:szCs w:val="21"/>
              </w:rPr>
              <w:t>医用液氧</w:t>
            </w:r>
          </w:p>
        </w:tc>
        <w:tc>
          <w:tcPr>
            <w:tcW w:w="856" w:type="pct"/>
            <w:tcBorders>
              <w:tl2br w:val="nil"/>
              <w:tr2bl w:val="nil"/>
            </w:tcBorders>
            <w:shd w:val="clear" w:color="auto" w:fill="FFFFFF"/>
            <w:vAlign w:val="center"/>
          </w:tcPr>
          <w:p>
            <w:pPr>
              <w:jc w:val="center"/>
              <w:rPr>
                <w:rFonts w:hint="default"/>
                <w:sz w:val="21"/>
                <w:szCs w:val="21"/>
                <w:lang w:val="en-US" w:eastAsia="zh-CN"/>
              </w:rPr>
            </w:pPr>
            <w:r>
              <w:rPr>
                <w:sz w:val="21"/>
                <w:szCs w:val="21"/>
              </w:rPr>
              <w:t>4</w:t>
            </w:r>
            <w:r>
              <w:rPr>
                <w:rFonts w:hint="eastAsia"/>
                <w:sz w:val="21"/>
                <w:szCs w:val="21"/>
                <w:lang w:val="en-US" w:eastAsia="zh-CN"/>
              </w:rPr>
              <w:t>30</w:t>
            </w:r>
          </w:p>
        </w:tc>
        <w:tc>
          <w:tcPr>
            <w:tcW w:w="775" w:type="pct"/>
            <w:tcBorders>
              <w:tl2br w:val="nil"/>
              <w:tr2bl w:val="nil"/>
            </w:tcBorders>
            <w:shd w:val="clear" w:color="auto" w:fill="FFFFFF"/>
            <w:vAlign w:val="center"/>
          </w:tcPr>
          <w:p>
            <w:pPr>
              <w:jc w:val="center"/>
              <w:rPr>
                <w:sz w:val="21"/>
                <w:szCs w:val="21"/>
              </w:rPr>
            </w:pPr>
            <w:r>
              <w:rPr>
                <w:sz w:val="21"/>
                <w:szCs w:val="21"/>
              </w:rPr>
              <w:t>立方米</w:t>
            </w:r>
          </w:p>
        </w:tc>
        <w:tc>
          <w:tcPr>
            <w:tcW w:w="925" w:type="pct"/>
            <w:tcBorders>
              <w:tl2br w:val="nil"/>
              <w:tr2bl w:val="nil"/>
            </w:tcBorders>
            <w:shd w:val="clear" w:color="auto" w:fill="FFFFFF"/>
            <w:vAlign w:val="center"/>
          </w:tcPr>
          <w:p>
            <w:pPr>
              <w:jc w:val="center"/>
              <w:rPr>
                <w:rFonts w:hint="default" w:eastAsiaTheme="minorEastAsia"/>
                <w:sz w:val="21"/>
                <w:szCs w:val="21"/>
                <w:lang w:val="en-US" w:eastAsia="zh-CN"/>
              </w:rPr>
            </w:pPr>
          </w:p>
        </w:tc>
        <w:tc>
          <w:tcPr>
            <w:tcW w:w="573" w:type="pct"/>
            <w:tcBorders>
              <w:tl2br w:val="nil"/>
              <w:tr2bl w:val="nil"/>
            </w:tcBorders>
            <w:shd w:val="clear" w:color="auto" w:fill="FFFFFF"/>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1" w:hRule="exact"/>
          <w:jc w:val="center"/>
        </w:trPr>
        <w:tc>
          <w:tcPr>
            <w:tcW w:w="602" w:type="pct"/>
            <w:tcBorders>
              <w:tl2br w:val="nil"/>
              <w:tr2bl w:val="nil"/>
            </w:tcBorders>
            <w:shd w:val="clear" w:color="auto" w:fill="FFFFFF"/>
            <w:vAlign w:val="center"/>
          </w:tcPr>
          <w:p>
            <w:pPr>
              <w:jc w:val="center"/>
              <w:rPr>
                <w:rFonts w:hint="eastAsia"/>
                <w:sz w:val="21"/>
                <w:szCs w:val="21"/>
                <w:lang w:val="en-US" w:eastAsia="zh-CN"/>
              </w:rPr>
            </w:pPr>
            <w:r>
              <w:rPr>
                <w:rFonts w:hint="eastAsia"/>
                <w:sz w:val="21"/>
                <w:szCs w:val="21"/>
                <w:lang w:val="en-US" w:eastAsia="zh-CN"/>
              </w:rPr>
              <w:t>2</w:t>
            </w:r>
          </w:p>
        </w:tc>
        <w:tc>
          <w:tcPr>
            <w:tcW w:w="1267" w:type="pct"/>
            <w:tcBorders>
              <w:tl2br w:val="nil"/>
              <w:tr2bl w:val="nil"/>
            </w:tcBorders>
            <w:shd w:val="clear" w:color="auto" w:fill="FFFFFF"/>
            <w:vAlign w:val="center"/>
          </w:tcPr>
          <w:p>
            <w:pPr>
              <w:jc w:val="center"/>
              <w:rPr>
                <w:sz w:val="21"/>
                <w:szCs w:val="21"/>
              </w:rPr>
            </w:pPr>
            <w:r>
              <w:rPr>
                <w:sz w:val="21"/>
                <w:szCs w:val="21"/>
                <w:lang w:val="en-US" w:eastAsia="en-US"/>
              </w:rPr>
              <w:t>40L</w:t>
            </w:r>
            <w:r>
              <w:rPr>
                <w:rFonts w:hint="eastAsia"/>
                <w:sz w:val="21"/>
                <w:szCs w:val="21"/>
                <w:lang w:val="en-US" w:eastAsia="zh-CN"/>
              </w:rPr>
              <w:t xml:space="preserve"> </w:t>
            </w:r>
            <w:r>
              <w:rPr>
                <w:sz w:val="21"/>
                <w:szCs w:val="21"/>
              </w:rPr>
              <w:t>瓶装氧气</w:t>
            </w:r>
          </w:p>
        </w:tc>
        <w:tc>
          <w:tcPr>
            <w:tcW w:w="856" w:type="pct"/>
            <w:tcBorders>
              <w:tl2br w:val="nil"/>
              <w:tr2bl w:val="nil"/>
            </w:tcBorders>
            <w:shd w:val="clear" w:color="auto" w:fill="FFFFFF"/>
            <w:vAlign w:val="center"/>
          </w:tcPr>
          <w:p>
            <w:pPr>
              <w:jc w:val="center"/>
              <w:rPr>
                <w:rFonts w:hint="default" w:eastAsiaTheme="minorEastAsia"/>
                <w:sz w:val="21"/>
                <w:szCs w:val="21"/>
                <w:lang w:val="en-US" w:eastAsia="zh-CN"/>
              </w:rPr>
            </w:pPr>
            <w:r>
              <w:rPr>
                <w:rFonts w:hint="eastAsia"/>
                <w:sz w:val="21"/>
                <w:szCs w:val="21"/>
                <w:lang w:val="en-US" w:eastAsia="zh-CN"/>
              </w:rPr>
              <w:t>200</w:t>
            </w:r>
          </w:p>
        </w:tc>
        <w:tc>
          <w:tcPr>
            <w:tcW w:w="775" w:type="pct"/>
            <w:tcBorders>
              <w:tl2br w:val="nil"/>
              <w:tr2bl w:val="nil"/>
            </w:tcBorders>
            <w:shd w:val="clear" w:color="auto" w:fill="FFFFFF"/>
            <w:vAlign w:val="center"/>
          </w:tcPr>
          <w:p>
            <w:pPr>
              <w:jc w:val="center"/>
              <w:rPr>
                <w:sz w:val="21"/>
                <w:szCs w:val="21"/>
              </w:rPr>
            </w:pPr>
            <w:r>
              <w:rPr>
                <w:sz w:val="21"/>
                <w:szCs w:val="21"/>
              </w:rPr>
              <w:t>瓶</w:t>
            </w:r>
          </w:p>
        </w:tc>
        <w:tc>
          <w:tcPr>
            <w:tcW w:w="925" w:type="pct"/>
            <w:tcBorders>
              <w:tl2br w:val="nil"/>
              <w:tr2bl w:val="nil"/>
            </w:tcBorders>
            <w:shd w:val="clear" w:color="auto" w:fill="FFFFFF"/>
            <w:vAlign w:val="center"/>
          </w:tcPr>
          <w:p>
            <w:pPr>
              <w:jc w:val="center"/>
              <w:rPr>
                <w:rFonts w:hint="default" w:eastAsiaTheme="minorEastAsia"/>
                <w:sz w:val="21"/>
                <w:szCs w:val="21"/>
                <w:lang w:val="en-US" w:eastAsia="zh-CN"/>
              </w:rPr>
            </w:pPr>
          </w:p>
        </w:tc>
        <w:tc>
          <w:tcPr>
            <w:tcW w:w="573" w:type="pct"/>
            <w:tcBorders>
              <w:tl2br w:val="nil"/>
              <w:tr2bl w:val="nil"/>
            </w:tcBorders>
            <w:shd w:val="clear" w:color="auto" w:fill="FFFFFF"/>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exact"/>
          <w:jc w:val="center"/>
        </w:trPr>
        <w:tc>
          <w:tcPr>
            <w:tcW w:w="602" w:type="pct"/>
            <w:tcBorders>
              <w:tl2br w:val="nil"/>
              <w:tr2bl w:val="nil"/>
            </w:tcBorders>
            <w:shd w:val="clear" w:color="auto" w:fill="FFFFFF"/>
            <w:vAlign w:val="center"/>
          </w:tcPr>
          <w:p>
            <w:pPr>
              <w:jc w:val="center"/>
              <w:rPr>
                <w:rFonts w:hint="eastAsia"/>
                <w:sz w:val="21"/>
                <w:szCs w:val="21"/>
                <w:lang w:val="en-US" w:eastAsia="zh-CN"/>
              </w:rPr>
            </w:pPr>
            <w:r>
              <w:rPr>
                <w:rFonts w:hint="eastAsia"/>
                <w:sz w:val="21"/>
                <w:szCs w:val="21"/>
                <w:lang w:val="en-US" w:eastAsia="zh-CN"/>
              </w:rPr>
              <w:t>3</w:t>
            </w:r>
          </w:p>
        </w:tc>
        <w:tc>
          <w:tcPr>
            <w:tcW w:w="1267" w:type="pct"/>
            <w:tcBorders>
              <w:tl2br w:val="nil"/>
              <w:tr2bl w:val="nil"/>
            </w:tcBorders>
            <w:shd w:val="clear" w:color="auto" w:fill="FFFFFF"/>
            <w:vAlign w:val="center"/>
          </w:tcPr>
          <w:p>
            <w:pPr>
              <w:jc w:val="center"/>
              <w:rPr>
                <w:sz w:val="21"/>
                <w:szCs w:val="21"/>
                <w:lang w:val="en-US" w:eastAsia="en-US"/>
              </w:rPr>
            </w:pPr>
            <w:r>
              <w:rPr>
                <w:sz w:val="21"/>
                <w:szCs w:val="21"/>
                <w:lang w:val="en-US" w:eastAsia="en-US"/>
              </w:rPr>
              <w:t>40</w:t>
            </w:r>
            <w:r>
              <w:rPr>
                <w:rFonts w:hint="eastAsia"/>
                <w:sz w:val="21"/>
                <w:szCs w:val="21"/>
                <w:lang w:val="en-US" w:eastAsia="zh-CN"/>
              </w:rPr>
              <w:t xml:space="preserve">L </w:t>
            </w:r>
            <w:r>
              <w:rPr>
                <w:sz w:val="21"/>
                <w:szCs w:val="21"/>
              </w:rPr>
              <w:t>瓶装氮气</w:t>
            </w:r>
          </w:p>
        </w:tc>
        <w:tc>
          <w:tcPr>
            <w:tcW w:w="856" w:type="pct"/>
            <w:tcBorders>
              <w:tl2br w:val="nil"/>
              <w:tr2bl w:val="nil"/>
            </w:tcBorders>
            <w:shd w:val="clear" w:color="auto" w:fill="FFFFFF"/>
            <w:vAlign w:val="center"/>
          </w:tcPr>
          <w:p>
            <w:pPr>
              <w:jc w:val="center"/>
              <w:rPr>
                <w:rFonts w:hint="default" w:eastAsiaTheme="minorEastAsia"/>
                <w:sz w:val="21"/>
                <w:szCs w:val="21"/>
                <w:lang w:val="en-US" w:eastAsia="zh-CN"/>
              </w:rPr>
            </w:pPr>
            <w:r>
              <w:rPr>
                <w:rFonts w:hint="eastAsia"/>
                <w:sz w:val="21"/>
                <w:szCs w:val="21"/>
                <w:lang w:val="en-US" w:eastAsia="zh-CN"/>
              </w:rPr>
              <w:t>100</w:t>
            </w:r>
          </w:p>
        </w:tc>
        <w:tc>
          <w:tcPr>
            <w:tcW w:w="775" w:type="pct"/>
            <w:tcBorders>
              <w:tl2br w:val="nil"/>
              <w:tr2bl w:val="nil"/>
            </w:tcBorders>
            <w:shd w:val="clear" w:color="auto" w:fill="FFFFFF"/>
            <w:vAlign w:val="center"/>
          </w:tcPr>
          <w:p>
            <w:pPr>
              <w:jc w:val="center"/>
              <w:rPr>
                <w:sz w:val="21"/>
                <w:szCs w:val="21"/>
                <w:lang w:val="zh-TW" w:eastAsia="zh-TW"/>
              </w:rPr>
            </w:pPr>
            <w:r>
              <w:rPr>
                <w:sz w:val="21"/>
                <w:szCs w:val="21"/>
              </w:rPr>
              <w:t>瓶</w:t>
            </w:r>
          </w:p>
        </w:tc>
        <w:tc>
          <w:tcPr>
            <w:tcW w:w="925" w:type="pct"/>
            <w:tcBorders>
              <w:tl2br w:val="nil"/>
              <w:tr2bl w:val="nil"/>
            </w:tcBorders>
            <w:shd w:val="clear" w:color="auto" w:fill="FFFFFF"/>
            <w:vAlign w:val="center"/>
          </w:tcPr>
          <w:p>
            <w:pPr>
              <w:jc w:val="center"/>
              <w:rPr>
                <w:rFonts w:hint="default" w:eastAsiaTheme="minorEastAsia"/>
                <w:sz w:val="21"/>
                <w:szCs w:val="21"/>
                <w:lang w:val="en-US" w:eastAsia="zh-CN"/>
              </w:rPr>
            </w:pPr>
          </w:p>
        </w:tc>
        <w:tc>
          <w:tcPr>
            <w:tcW w:w="573" w:type="pct"/>
            <w:tcBorders>
              <w:tl2br w:val="nil"/>
              <w:tr2bl w:val="nil"/>
            </w:tcBorders>
            <w:shd w:val="clear" w:color="auto" w:fill="FFFFFF"/>
            <w:vAlign w:val="center"/>
          </w:tcPr>
          <w:p>
            <w:pPr>
              <w:jc w:val="center"/>
              <w:rPr>
                <w:sz w:val="21"/>
                <w:szCs w:val="21"/>
                <w:lang w:val="en-US"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exact"/>
          <w:jc w:val="center"/>
        </w:trPr>
        <w:tc>
          <w:tcPr>
            <w:tcW w:w="602" w:type="pct"/>
            <w:tcBorders>
              <w:tl2br w:val="nil"/>
              <w:tr2bl w:val="nil"/>
            </w:tcBorders>
            <w:vAlign w:val="center"/>
          </w:tcPr>
          <w:p>
            <w:pPr>
              <w:jc w:val="center"/>
              <w:rPr>
                <w:rFonts w:hint="eastAsia"/>
                <w:sz w:val="21"/>
                <w:szCs w:val="21"/>
                <w:lang w:val="en-US" w:eastAsia="zh-CN"/>
              </w:rPr>
            </w:pPr>
            <w:r>
              <w:rPr>
                <w:rFonts w:hint="eastAsia"/>
                <w:sz w:val="21"/>
                <w:szCs w:val="21"/>
                <w:lang w:val="en-US" w:eastAsia="zh-CN"/>
              </w:rPr>
              <w:t>4</w:t>
            </w:r>
          </w:p>
        </w:tc>
        <w:tc>
          <w:tcPr>
            <w:tcW w:w="1267" w:type="pct"/>
            <w:tcBorders>
              <w:tl2br w:val="nil"/>
              <w:tr2bl w:val="nil"/>
            </w:tcBorders>
            <w:vAlign w:val="center"/>
          </w:tcPr>
          <w:p>
            <w:pPr>
              <w:jc w:val="center"/>
              <w:rPr>
                <w:sz w:val="21"/>
                <w:szCs w:val="21"/>
                <w:lang w:val="en-US" w:eastAsia="en-US"/>
              </w:rPr>
            </w:pPr>
            <w:r>
              <w:rPr>
                <w:sz w:val="21"/>
                <w:szCs w:val="21"/>
                <w:lang w:val="en-US" w:eastAsia="en-US"/>
              </w:rPr>
              <w:t>40L</w:t>
            </w:r>
            <w:r>
              <w:rPr>
                <w:rFonts w:hint="eastAsia"/>
                <w:sz w:val="21"/>
                <w:szCs w:val="21"/>
                <w:lang w:val="en-US" w:eastAsia="zh-CN"/>
              </w:rPr>
              <w:t xml:space="preserve"> </w:t>
            </w:r>
            <w:r>
              <w:rPr>
                <w:sz w:val="21"/>
                <w:szCs w:val="21"/>
              </w:rPr>
              <w:t>瓶装</w:t>
            </w:r>
            <w:r>
              <w:rPr>
                <w:sz w:val="21"/>
                <w:szCs w:val="21"/>
                <w:lang w:val="en-US" w:eastAsia="en-US"/>
              </w:rPr>
              <w:t>C02</w:t>
            </w:r>
          </w:p>
        </w:tc>
        <w:tc>
          <w:tcPr>
            <w:tcW w:w="856" w:type="pct"/>
            <w:tcBorders>
              <w:tl2br w:val="nil"/>
              <w:tr2bl w:val="nil"/>
            </w:tcBorders>
            <w:vAlign w:val="center"/>
          </w:tcPr>
          <w:p>
            <w:pPr>
              <w:jc w:val="center"/>
              <w:rPr>
                <w:rFonts w:hint="default" w:eastAsiaTheme="minorEastAsia"/>
                <w:sz w:val="21"/>
                <w:szCs w:val="21"/>
                <w:lang w:val="en-US" w:eastAsia="zh-CN"/>
              </w:rPr>
            </w:pPr>
            <w:r>
              <w:rPr>
                <w:rFonts w:hint="eastAsia"/>
                <w:sz w:val="21"/>
                <w:szCs w:val="21"/>
                <w:lang w:val="en-US" w:eastAsia="zh-CN"/>
              </w:rPr>
              <w:t>300</w:t>
            </w:r>
          </w:p>
        </w:tc>
        <w:tc>
          <w:tcPr>
            <w:tcW w:w="775" w:type="pct"/>
            <w:tcBorders>
              <w:tl2br w:val="nil"/>
              <w:tr2bl w:val="nil"/>
            </w:tcBorders>
            <w:vAlign w:val="center"/>
          </w:tcPr>
          <w:p>
            <w:pPr>
              <w:jc w:val="center"/>
              <w:rPr>
                <w:sz w:val="21"/>
                <w:szCs w:val="21"/>
                <w:lang w:val="zh-TW" w:eastAsia="zh-TW"/>
              </w:rPr>
            </w:pPr>
            <w:r>
              <w:rPr>
                <w:sz w:val="21"/>
                <w:szCs w:val="21"/>
              </w:rPr>
              <w:t>瓶</w:t>
            </w:r>
          </w:p>
        </w:tc>
        <w:tc>
          <w:tcPr>
            <w:tcW w:w="925" w:type="pct"/>
            <w:tcBorders>
              <w:tl2br w:val="nil"/>
              <w:tr2bl w:val="nil"/>
            </w:tcBorders>
            <w:vAlign w:val="center"/>
          </w:tcPr>
          <w:p>
            <w:pPr>
              <w:jc w:val="center"/>
              <w:rPr>
                <w:rFonts w:hint="default" w:eastAsiaTheme="minorEastAsia"/>
                <w:sz w:val="21"/>
                <w:szCs w:val="21"/>
                <w:lang w:val="en-US" w:eastAsia="zh-CN"/>
              </w:rPr>
            </w:pPr>
          </w:p>
        </w:tc>
        <w:tc>
          <w:tcPr>
            <w:tcW w:w="573" w:type="pct"/>
            <w:tcBorders>
              <w:tl2br w:val="nil"/>
              <w:tr2bl w:val="nil"/>
            </w:tcBorders>
            <w:vAlign w:val="center"/>
          </w:tcPr>
          <w:p>
            <w:pPr>
              <w:jc w:val="center"/>
              <w:rPr>
                <w:sz w:val="21"/>
                <w:szCs w:val="21"/>
                <w:lang w:val="en-US"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exact"/>
          <w:jc w:val="center"/>
        </w:trPr>
        <w:tc>
          <w:tcPr>
            <w:tcW w:w="602" w:type="pct"/>
            <w:tcBorders>
              <w:tl2br w:val="nil"/>
              <w:tr2bl w:val="nil"/>
            </w:tcBorders>
            <w:vAlign w:val="center"/>
          </w:tcPr>
          <w:p>
            <w:pPr>
              <w:jc w:val="center"/>
              <w:rPr>
                <w:rFonts w:hint="eastAsia"/>
                <w:sz w:val="21"/>
                <w:szCs w:val="21"/>
                <w:lang w:val="en-US" w:eastAsia="zh-CN"/>
              </w:rPr>
            </w:pPr>
            <w:r>
              <w:rPr>
                <w:rFonts w:hint="eastAsia"/>
                <w:sz w:val="21"/>
                <w:szCs w:val="21"/>
                <w:lang w:val="en-US" w:eastAsia="zh-CN"/>
              </w:rPr>
              <w:t>5</w:t>
            </w:r>
          </w:p>
        </w:tc>
        <w:tc>
          <w:tcPr>
            <w:tcW w:w="1267" w:type="pct"/>
            <w:tcBorders>
              <w:tl2br w:val="nil"/>
              <w:tr2bl w:val="nil"/>
            </w:tcBorders>
            <w:vAlign w:val="center"/>
          </w:tcPr>
          <w:p>
            <w:pPr>
              <w:jc w:val="center"/>
              <w:rPr>
                <w:sz w:val="21"/>
                <w:szCs w:val="21"/>
                <w:lang w:val="en-US" w:eastAsia="en-US"/>
              </w:rPr>
            </w:pPr>
            <w:r>
              <w:rPr>
                <w:sz w:val="21"/>
                <w:szCs w:val="21"/>
                <w:lang w:val="en-US" w:eastAsia="en-US"/>
              </w:rPr>
              <w:t>10L</w:t>
            </w:r>
            <w:r>
              <w:rPr>
                <w:rFonts w:hint="eastAsia"/>
                <w:sz w:val="21"/>
                <w:szCs w:val="21"/>
                <w:lang w:val="en-US" w:eastAsia="zh-CN"/>
              </w:rPr>
              <w:t xml:space="preserve"> </w:t>
            </w:r>
            <w:r>
              <w:rPr>
                <w:sz w:val="21"/>
                <w:szCs w:val="21"/>
              </w:rPr>
              <w:t>瓶装氧气</w:t>
            </w:r>
          </w:p>
        </w:tc>
        <w:tc>
          <w:tcPr>
            <w:tcW w:w="856" w:type="pct"/>
            <w:tcBorders>
              <w:tl2br w:val="nil"/>
              <w:tr2bl w:val="nil"/>
            </w:tcBorders>
            <w:vAlign w:val="center"/>
          </w:tcPr>
          <w:p>
            <w:pPr>
              <w:jc w:val="center"/>
              <w:rPr>
                <w:rFonts w:hint="default" w:eastAsiaTheme="minorEastAsia"/>
                <w:sz w:val="21"/>
                <w:szCs w:val="21"/>
                <w:lang w:val="en-US" w:eastAsia="zh-CN"/>
              </w:rPr>
            </w:pPr>
            <w:r>
              <w:rPr>
                <w:rFonts w:hint="eastAsia"/>
                <w:sz w:val="21"/>
                <w:szCs w:val="21"/>
                <w:lang w:val="en-US" w:eastAsia="zh-CN"/>
              </w:rPr>
              <w:t>100</w:t>
            </w:r>
          </w:p>
        </w:tc>
        <w:tc>
          <w:tcPr>
            <w:tcW w:w="775" w:type="pct"/>
            <w:tcBorders>
              <w:tl2br w:val="nil"/>
              <w:tr2bl w:val="nil"/>
            </w:tcBorders>
            <w:vAlign w:val="center"/>
          </w:tcPr>
          <w:p>
            <w:pPr>
              <w:jc w:val="center"/>
              <w:rPr>
                <w:sz w:val="21"/>
                <w:szCs w:val="21"/>
                <w:lang w:val="zh-TW" w:eastAsia="zh-TW"/>
              </w:rPr>
            </w:pPr>
            <w:r>
              <w:rPr>
                <w:sz w:val="21"/>
                <w:szCs w:val="21"/>
              </w:rPr>
              <w:t>瓶</w:t>
            </w:r>
          </w:p>
        </w:tc>
        <w:tc>
          <w:tcPr>
            <w:tcW w:w="925" w:type="pct"/>
            <w:tcBorders>
              <w:tl2br w:val="nil"/>
              <w:tr2bl w:val="nil"/>
            </w:tcBorders>
            <w:vAlign w:val="center"/>
          </w:tcPr>
          <w:p>
            <w:pPr>
              <w:jc w:val="center"/>
              <w:rPr>
                <w:rFonts w:hint="default" w:eastAsiaTheme="minorEastAsia"/>
                <w:sz w:val="21"/>
                <w:szCs w:val="21"/>
                <w:lang w:val="en-US" w:eastAsia="zh-CN"/>
              </w:rPr>
            </w:pPr>
          </w:p>
        </w:tc>
        <w:tc>
          <w:tcPr>
            <w:tcW w:w="573" w:type="pct"/>
            <w:tcBorders>
              <w:tl2br w:val="nil"/>
              <w:tr2bl w:val="nil"/>
            </w:tcBorders>
            <w:vAlign w:val="center"/>
          </w:tcPr>
          <w:p>
            <w:pPr>
              <w:jc w:val="center"/>
              <w:rPr>
                <w:sz w:val="21"/>
                <w:szCs w:val="21"/>
                <w:lang w:val="en-US"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exact"/>
          <w:jc w:val="center"/>
        </w:trPr>
        <w:tc>
          <w:tcPr>
            <w:tcW w:w="602" w:type="pct"/>
            <w:tcBorders>
              <w:tl2br w:val="nil"/>
              <w:tr2bl w:val="nil"/>
            </w:tcBorders>
            <w:vAlign w:val="center"/>
          </w:tcPr>
          <w:p>
            <w:pPr>
              <w:jc w:val="center"/>
              <w:rPr>
                <w:rFonts w:hint="eastAsia"/>
                <w:sz w:val="21"/>
                <w:szCs w:val="21"/>
                <w:lang w:val="zh-TW" w:eastAsia="zh-CN"/>
              </w:rPr>
            </w:pPr>
            <w:r>
              <w:rPr>
                <w:rFonts w:hint="eastAsia"/>
                <w:sz w:val="21"/>
                <w:szCs w:val="21"/>
                <w:lang w:val="en-US" w:eastAsia="zh-CN"/>
              </w:rPr>
              <w:t>6</w:t>
            </w:r>
          </w:p>
        </w:tc>
        <w:tc>
          <w:tcPr>
            <w:tcW w:w="1267" w:type="pct"/>
            <w:tcBorders>
              <w:tl2br w:val="nil"/>
              <w:tr2bl w:val="nil"/>
            </w:tcBorders>
            <w:vAlign w:val="center"/>
          </w:tcPr>
          <w:p>
            <w:pPr>
              <w:jc w:val="center"/>
              <w:rPr>
                <w:sz w:val="21"/>
                <w:szCs w:val="21"/>
                <w:lang w:val="en-US" w:eastAsia="en-US"/>
              </w:rPr>
            </w:pPr>
            <w:r>
              <w:rPr>
                <w:sz w:val="21"/>
                <w:szCs w:val="21"/>
                <w:lang w:val="en-US" w:eastAsia="en-US"/>
              </w:rPr>
              <w:t>4L</w:t>
            </w:r>
            <w:r>
              <w:rPr>
                <w:rFonts w:hint="eastAsia"/>
                <w:sz w:val="21"/>
                <w:szCs w:val="21"/>
                <w:lang w:val="en-US" w:eastAsia="zh-CN"/>
              </w:rPr>
              <w:t xml:space="preserve"> </w:t>
            </w:r>
            <w:r>
              <w:rPr>
                <w:sz w:val="21"/>
                <w:szCs w:val="21"/>
              </w:rPr>
              <w:t>瓶装氧气</w:t>
            </w:r>
          </w:p>
        </w:tc>
        <w:tc>
          <w:tcPr>
            <w:tcW w:w="856" w:type="pct"/>
            <w:tcBorders>
              <w:tl2br w:val="nil"/>
              <w:tr2bl w:val="nil"/>
            </w:tcBorders>
            <w:vAlign w:val="center"/>
          </w:tcPr>
          <w:p>
            <w:pPr>
              <w:jc w:val="center"/>
              <w:rPr>
                <w:rFonts w:hint="default" w:eastAsiaTheme="minorEastAsia"/>
                <w:sz w:val="21"/>
                <w:szCs w:val="21"/>
                <w:lang w:val="en-US" w:eastAsia="zh-CN"/>
              </w:rPr>
            </w:pPr>
            <w:r>
              <w:rPr>
                <w:rFonts w:hint="eastAsia"/>
                <w:sz w:val="21"/>
                <w:szCs w:val="21"/>
                <w:lang w:val="en-US" w:eastAsia="zh-CN"/>
              </w:rPr>
              <w:t>2000</w:t>
            </w:r>
          </w:p>
        </w:tc>
        <w:tc>
          <w:tcPr>
            <w:tcW w:w="775" w:type="pct"/>
            <w:tcBorders>
              <w:tl2br w:val="nil"/>
              <w:tr2bl w:val="nil"/>
            </w:tcBorders>
            <w:vAlign w:val="center"/>
          </w:tcPr>
          <w:p>
            <w:pPr>
              <w:jc w:val="center"/>
              <w:rPr>
                <w:sz w:val="21"/>
                <w:szCs w:val="21"/>
                <w:lang w:val="zh-TW" w:eastAsia="zh-TW"/>
              </w:rPr>
            </w:pPr>
            <w:r>
              <w:rPr>
                <w:sz w:val="21"/>
                <w:szCs w:val="21"/>
              </w:rPr>
              <w:t>瓶</w:t>
            </w:r>
          </w:p>
        </w:tc>
        <w:tc>
          <w:tcPr>
            <w:tcW w:w="925" w:type="pct"/>
            <w:tcBorders>
              <w:tl2br w:val="nil"/>
              <w:tr2bl w:val="nil"/>
            </w:tcBorders>
            <w:vAlign w:val="center"/>
          </w:tcPr>
          <w:p>
            <w:pPr>
              <w:jc w:val="center"/>
              <w:rPr>
                <w:rFonts w:hint="default" w:eastAsiaTheme="minorEastAsia"/>
                <w:sz w:val="21"/>
                <w:szCs w:val="21"/>
                <w:lang w:val="en-US" w:eastAsia="zh-CN"/>
              </w:rPr>
            </w:pPr>
          </w:p>
        </w:tc>
        <w:tc>
          <w:tcPr>
            <w:tcW w:w="573" w:type="pct"/>
            <w:tcBorders>
              <w:tl2br w:val="nil"/>
              <w:tr2bl w:val="nil"/>
            </w:tcBorders>
            <w:vAlign w:val="center"/>
          </w:tcPr>
          <w:p>
            <w:pPr>
              <w:jc w:val="center"/>
              <w:rPr>
                <w:sz w:val="21"/>
                <w:szCs w:val="21"/>
                <w:lang w:val="en-US"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exact"/>
          <w:jc w:val="center"/>
        </w:trPr>
        <w:tc>
          <w:tcPr>
            <w:tcW w:w="602" w:type="pct"/>
            <w:tcBorders>
              <w:tl2br w:val="nil"/>
              <w:tr2bl w:val="nil"/>
            </w:tcBorders>
            <w:vAlign w:val="center"/>
          </w:tcPr>
          <w:p>
            <w:pPr>
              <w:jc w:val="center"/>
              <w:rPr>
                <w:rFonts w:hint="eastAsia"/>
                <w:sz w:val="21"/>
                <w:szCs w:val="21"/>
                <w:lang w:val="zh-TW" w:eastAsia="zh-CN"/>
              </w:rPr>
            </w:pPr>
            <w:r>
              <w:rPr>
                <w:rFonts w:hint="eastAsia"/>
                <w:sz w:val="21"/>
                <w:szCs w:val="21"/>
                <w:lang w:val="en-US" w:eastAsia="zh-CN"/>
              </w:rPr>
              <w:t>7</w:t>
            </w:r>
          </w:p>
        </w:tc>
        <w:tc>
          <w:tcPr>
            <w:tcW w:w="1267" w:type="pct"/>
            <w:tcBorders>
              <w:tl2br w:val="nil"/>
              <w:tr2bl w:val="nil"/>
            </w:tcBorders>
            <w:vAlign w:val="center"/>
          </w:tcPr>
          <w:p>
            <w:pPr>
              <w:jc w:val="center"/>
              <w:rPr>
                <w:sz w:val="21"/>
                <w:szCs w:val="21"/>
                <w:lang w:val="en-US" w:eastAsia="en-US"/>
              </w:rPr>
            </w:pPr>
            <w:r>
              <w:rPr>
                <w:sz w:val="21"/>
                <w:szCs w:val="21"/>
                <w:lang w:val="en-US" w:eastAsia="en-US"/>
              </w:rPr>
              <w:t>3L</w:t>
            </w:r>
            <w:r>
              <w:rPr>
                <w:rFonts w:hint="eastAsia"/>
                <w:sz w:val="21"/>
                <w:szCs w:val="21"/>
                <w:lang w:val="en-US" w:eastAsia="zh-CN"/>
              </w:rPr>
              <w:t xml:space="preserve"> </w:t>
            </w:r>
            <w:r>
              <w:rPr>
                <w:sz w:val="21"/>
                <w:szCs w:val="21"/>
              </w:rPr>
              <w:t>瓶装氧气</w:t>
            </w:r>
          </w:p>
        </w:tc>
        <w:tc>
          <w:tcPr>
            <w:tcW w:w="856" w:type="pct"/>
            <w:tcBorders>
              <w:tl2br w:val="nil"/>
              <w:tr2bl w:val="nil"/>
            </w:tcBorders>
            <w:vAlign w:val="center"/>
          </w:tcPr>
          <w:p>
            <w:pPr>
              <w:jc w:val="center"/>
              <w:rPr>
                <w:rFonts w:hint="default" w:eastAsiaTheme="minorEastAsia"/>
                <w:sz w:val="21"/>
                <w:szCs w:val="21"/>
                <w:lang w:val="en-US" w:eastAsia="zh-CN"/>
              </w:rPr>
            </w:pPr>
            <w:r>
              <w:rPr>
                <w:rFonts w:hint="eastAsia"/>
                <w:sz w:val="21"/>
                <w:szCs w:val="21"/>
                <w:lang w:val="en-US" w:eastAsia="zh-CN"/>
              </w:rPr>
              <w:t>500</w:t>
            </w:r>
          </w:p>
        </w:tc>
        <w:tc>
          <w:tcPr>
            <w:tcW w:w="775" w:type="pct"/>
            <w:tcBorders>
              <w:tl2br w:val="nil"/>
              <w:tr2bl w:val="nil"/>
            </w:tcBorders>
            <w:vAlign w:val="center"/>
          </w:tcPr>
          <w:p>
            <w:pPr>
              <w:jc w:val="center"/>
              <w:rPr>
                <w:sz w:val="21"/>
                <w:szCs w:val="21"/>
                <w:lang w:val="zh-TW" w:eastAsia="zh-TW"/>
              </w:rPr>
            </w:pPr>
            <w:r>
              <w:rPr>
                <w:sz w:val="21"/>
                <w:szCs w:val="21"/>
              </w:rPr>
              <w:t>瓶</w:t>
            </w:r>
          </w:p>
        </w:tc>
        <w:tc>
          <w:tcPr>
            <w:tcW w:w="925" w:type="pct"/>
            <w:tcBorders>
              <w:tl2br w:val="nil"/>
              <w:tr2bl w:val="nil"/>
            </w:tcBorders>
            <w:vAlign w:val="center"/>
          </w:tcPr>
          <w:p>
            <w:pPr>
              <w:jc w:val="center"/>
              <w:rPr>
                <w:rFonts w:hint="default" w:eastAsiaTheme="minorEastAsia"/>
                <w:sz w:val="21"/>
                <w:szCs w:val="21"/>
                <w:lang w:val="en-US" w:eastAsia="zh-CN"/>
              </w:rPr>
            </w:pPr>
          </w:p>
        </w:tc>
        <w:tc>
          <w:tcPr>
            <w:tcW w:w="573" w:type="pct"/>
            <w:tcBorders>
              <w:tl2br w:val="nil"/>
              <w:tr2bl w:val="nil"/>
            </w:tcBorders>
            <w:vAlign w:val="center"/>
          </w:tcPr>
          <w:p>
            <w:pPr>
              <w:jc w:val="center"/>
              <w:rPr>
                <w:sz w:val="21"/>
                <w:szCs w:val="21"/>
                <w:lang w:val="en-US"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exact"/>
          <w:jc w:val="center"/>
        </w:trPr>
        <w:tc>
          <w:tcPr>
            <w:tcW w:w="602" w:type="pct"/>
            <w:tcBorders>
              <w:tl2br w:val="nil"/>
              <w:tr2bl w:val="nil"/>
            </w:tcBorders>
            <w:vAlign w:val="center"/>
          </w:tcPr>
          <w:p>
            <w:pPr>
              <w:jc w:val="center"/>
              <w:rPr>
                <w:rFonts w:hint="default"/>
                <w:sz w:val="21"/>
                <w:szCs w:val="21"/>
                <w:lang w:val="en-US" w:eastAsia="zh-CN"/>
              </w:rPr>
            </w:pPr>
            <w:r>
              <w:rPr>
                <w:rFonts w:hint="eastAsia"/>
                <w:sz w:val="21"/>
                <w:szCs w:val="21"/>
                <w:lang w:val="en-US" w:eastAsia="zh-CN"/>
              </w:rPr>
              <w:t>8</w:t>
            </w:r>
          </w:p>
        </w:tc>
        <w:tc>
          <w:tcPr>
            <w:tcW w:w="1267" w:type="pct"/>
            <w:tcBorders>
              <w:tl2br w:val="nil"/>
              <w:tr2bl w:val="nil"/>
            </w:tcBorders>
            <w:vAlign w:val="center"/>
          </w:tcPr>
          <w:p>
            <w:pPr>
              <w:jc w:val="center"/>
              <w:rPr>
                <w:sz w:val="21"/>
                <w:szCs w:val="21"/>
                <w:lang w:val="en-US" w:eastAsia="en-US"/>
              </w:rPr>
            </w:pPr>
            <w:r>
              <w:rPr>
                <w:sz w:val="21"/>
                <w:szCs w:val="21"/>
                <w:lang w:val="en-US" w:eastAsia="en-US"/>
              </w:rPr>
              <w:t>2L</w:t>
            </w:r>
            <w:r>
              <w:rPr>
                <w:rFonts w:hint="eastAsia"/>
                <w:sz w:val="21"/>
                <w:szCs w:val="21"/>
                <w:lang w:val="en-US" w:eastAsia="zh-CN"/>
              </w:rPr>
              <w:t xml:space="preserve"> </w:t>
            </w:r>
            <w:r>
              <w:rPr>
                <w:sz w:val="21"/>
                <w:szCs w:val="21"/>
              </w:rPr>
              <w:t>瓶装氧气</w:t>
            </w:r>
          </w:p>
        </w:tc>
        <w:tc>
          <w:tcPr>
            <w:tcW w:w="856" w:type="pct"/>
            <w:tcBorders>
              <w:tl2br w:val="nil"/>
              <w:tr2bl w:val="nil"/>
            </w:tcBorders>
            <w:vAlign w:val="center"/>
          </w:tcPr>
          <w:p>
            <w:pPr>
              <w:jc w:val="center"/>
              <w:rPr>
                <w:rFonts w:hint="default" w:eastAsiaTheme="minorEastAsia"/>
                <w:sz w:val="21"/>
                <w:szCs w:val="21"/>
                <w:lang w:val="en-US" w:eastAsia="zh-CN"/>
              </w:rPr>
            </w:pPr>
            <w:r>
              <w:rPr>
                <w:rFonts w:hint="eastAsia"/>
                <w:sz w:val="21"/>
                <w:szCs w:val="21"/>
                <w:lang w:val="en-US" w:eastAsia="zh-CN"/>
              </w:rPr>
              <w:t>40</w:t>
            </w:r>
          </w:p>
        </w:tc>
        <w:tc>
          <w:tcPr>
            <w:tcW w:w="775" w:type="pct"/>
            <w:tcBorders>
              <w:tl2br w:val="nil"/>
              <w:tr2bl w:val="nil"/>
            </w:tcBorders>
            <w:vAlign w:val="center"/>
          </w:tcPr>
          <w:p>
            <w:pPr>
              <w:jc w:val="center"/>
              <w:rPr>
                <w:sz w:val="21"/>
                <w:szCs w:val="21"/>
                <w:lang w:val="zh-TW" w:eastAsia="zh-TW"/>
              </w:rPr>
            </w:pPr>
            <w:r>
              <w:rPr>
                <w:sz w:val="21"/>
                <w:szCs w:val="21"/>
              </w:rPr>
              <w:t>瓶</w:t>
            </w:r>
          </w:p>
        </w:tc>
        <w:tc>
          <w:tcPr>
            <w:tcW w:w="925" w:type="pct"/>
            <w:tcBorders>
              <w:tl2br w:val="nil"/>
              <w:tr2bl w:val="nil"/>
            </w:tcBorders>
            <w:vAlign w:val="center"/>
          </w:tcPr>
          <w:p>
            <w:pPr>
              <w:jc w:val="center"/>
              <w:rPr>
                <w:rFonts w:hint="default" w:eastAsiaTheme="minorEastAsia"/>
                <w:sz w:val="21"/>
                <w:szCs w:val="21"/>
                <w:lang w:val="en-US" w:eastAsia="zh-CN"/>
              </w:rPr>
            </w:pPr>
          </w:p>
        </w:tc>
        <w:tc>
          <w:tcPr>
            <w:tcW w:w="573" w:type="pct"/>
            <w:tcBorders>
              <w:tl2br w:val="nil"/>
              <w:tr2bl w:val="nil"/>
            </w:tcBorders>
            <w:vAlign w:val="center"/>
          </w:tcPr>
          <w:p>
            <w:pPr>
              <w:jc w:val="center"/>
              <w:rPr>
                <w:sz w:val="21"/>
                <w:szCs w:val="21"/>
                <w:lang w:val="en-US"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exact"/>
          <w:jc w:val="center"/>
        </w:trPr>
        <w:tc>
          <w:tcPr>
            <w:tcW w:w="602" w:type="pct"/>
            <w:tcBorders>
              <w:tl2br w:val="nil"/>
              <w:tr2bl w:val="nil"/>
            </w:tcBorders>
            <w:vAlign w:val="center"/>
          </w:tcPr>
          <w:p>
            <w:pPr>
              <w:jc w:val="center"/>
              <w:rPr>
                <w:rFonts w:hint="eastAsia"/>
                <w:sz w:val="21"/>
                <w:szCs w:val="21"/>
                <w:lang w:val="zh-TW" w:eastAsia="zh-CN"/>
              </w:rPr>
            </w:pPr>
            <w:r>
              <w:rPr>
                <w:rFonts w:hint="eastAsia"/>
                <w:sz w:val="21"/>
                <w:szCs w:val="21"/>
                <w:lang w:val="en-US" w:eastAsia="zh-CN"/>
              </w:rPr>
              <w:t>9</w:t>
            </w:r>
          </w:p>
        </w:tc>
        <w:tc>
          <w:tcPr>
            <w:tcW w:w="1267" w:type="pct"/>
            <w:tcBorders>
              <w:tl2br w:val="nil"/>
              <w:tr2bl w:val="nil"/>
            </w:tcBorders>
            <w:vAlign w:val="center"/>
          </w:tcPr>
          <w:p>
            <w:pPr>
              <w:jc w:val="center"/>
              <w:rPr>
                <w:sz w:val="21"/>
                <w:szCs w:val="21"/>
                <w:lang w:val="en-US" w:eastAsia="en-US"/>
              </w:rPr>
            </w:pPr>
            <w:r>
              <w:rPr>
                <w:sz w:val="21"/>
                <w:szCs w:val="21"/>
              </w:rPr>
              <w:t>液氮</w:t>
            </w:r>
          </w:p>
        </w:tc>
        <w:tc>
          <w:tcPr>
            <w:tcW w:w="856" w:type="pct"/>
            <w:tcBorders>
              <w:tl2br w:val="nil"/>
              <w:tr2bl w:val="nil"/>
            </w:tcBorders>
            <w:vAlign w:val="center"/>
          </w:tcPr>
          <w:p>
            <w:pPr>
              <w:jc w:val="center"/>
              <w:rPr>
                <w:rFonts w:hint="default" w:eastAsiaTheme="minorEastAsia"/>
                <w:sz w:val="21"/>
                <w:szCs w:val="21"/>
                <w:lang w:val="en-US" w:eastAsia="zh-CN"/>
              </w:rPr>
            </w:pPr>
            <w:r>
              <w:rPr>
                <w:rFonts w:hint="eastAsia"/>
                <w:sz w:val="21"/>
                <w:szCs w:val="21"/>
                <w:lang w:val="en-US" w:eastAsia="zh-CN"/>
              </w:rPr>
              <w:t>2000</w:t>
            </w:r>
          </w:p>
        </w:tc>
        <w:tc>
          <w:tcPr>
            <w:tcW w:w="775" w:type="pct"/>
            <w:tcBorders>
              <w:tl2br w:val="nil"/>
              <w:tr2bl w:val="nil"/>
            </w:tcBorders>
            <w:vAlign w:val="center"/>
          </w:tcPr>
          <w:p>
            <w:pPr>
              <w:jc w:val="center"/>
              <w:rPr>
                <w:sz w:val="21"/>
                <w:szCs w:val="21"/>
                <w:lang w:val="zh-TW" w:eastAsia="zh-TW"/>
              </w:rPr>
            </w:pPr>
            <w:r>
              <w:rPr>
                <w:sz w:val="21"/>
                <w:szCs w:val="21"/>
              </w:rPr>
              <w:t>升</w:t>
            </w:r>
          </w:p>
        </w:tc>
        <w:tc>
          <w:tcPr>
            <w:tcW w:w="925" w:type="pct"/>
            <w:tcBorders>
              <w:tl2br w:val="nil"/>
              <w:tr2bl w:val="nil"/>
            </w:tcBorders>
            <w:vAlign w:val="center"/>
          </w:tcPr>
          <w:p>
            <w:pPr>
              <w:jc w:val="center"/>
              <w:rPr>
                <w:rFonts w:hint="default" w:eastAsiaTheme="minorEastAsia"/>
                <w:sz w:val="21"/>
                <w:szCs w:val="21"/>
                <w:lang w:val="en-US" w:eastAsia="zh-CN"/>
              </w:rPr>
            </w:pPr>
          </w:p>
        </w:tc>
        <w:tc>
          <w:tcPr>
            <w:tcW w:w="573" w:type="pct"/>
            <w:tcBorders>
              <w:tl2br w:val="nil"/>
              <w:tr2bl w:val="nil"/>
            </w:tcBorders>
            <w:vAlign w:val="center"/>
          </w:tcPr>
          <w:p>
            <w:pPr>
              <w:jc w:val="center"/>
              <w:rPr>
                <w:sz w:val="21"/>
                <w:szCs w:val="21"/>
                <w:lang w:val="en-US" w:eastAsia="en-US"/>
              </w:rPr>
            </w:pPr>
          </w:p>
        </w:tc>
      </w:tr>
    </w:tbl>
    <w:p>
      <w:pPr>
        <w:widowControl w:val="0"/>
        <w:numPr>
          <w:ilvl w:val="0"/>
          <w:numId w:val="0"/>
        </w:numPr>
        <w:jc w:val="both"/>
        <w:rPr>
          <w:rFonts w:hint="eastAsia"/>
          <w:sz w:val="21"/>
          <w:szCs w:val="21"/>
          <w:lang w:val="en-US" w:eastAsia="zh-CN"/>
        </w:rPr>
      </w:pPr>
      <w:r>
        <w:rPr>
          <w:rFonts w:hint="eastAsia"/>
          <w:sz w:val="21"/>
          <w:szCs w:val="21"/>
          <w:lang w:val="en-US" w:eastAsia="zh-CN"/>
        </w:rPr>
        <w:t>注：以上数量为</w:t>
      </w:r>
      <w:r>
        <w:rPr>
          <w:rFonts w:hint="eastAsia"/>
          <w:b/>
          <w:bCs/>
          <w:sz w:val="21"/>
          <w:szCs w:val="21"/>
          <w:lang w:val="en-US" w:eastAsia="zh-CN"/>
        </w:rPr>
        <w:t>一年</w:t>
      </w:r>
      <w:r>
        <w:rPr>
          <w:rFonts w:hint="eastAsia"/>
          <w:sz w:val="21"/>
          <w:szCs w:val="21"/>
          <w:lang w:val="en-US" w:eastAsia="zh-CN"/>
        </w:rPr>
        <w:t>的预估数量，结算以实际发生量进行计算。</w:t>
      </w:r>
    </w:p>
    <w:p>
      <w:pPr>
        <w:widowControl w:val="0"/>
        <w:numPr>
          <w:ilvl w:val="0"/>
          <w:numId w:val="0"/>
        </w:numPr>
        <w:jc w:val="both"/>
        <w:rPr>
          <w:rFonts w:hint="default"/>
          <w:sz w:val="21"/>
          <w:szCs w:val="21"/>
          <w:lang w:val="en-US" w:eastAsia="zh-CN"/>
        </w:rPr>
      </w:pPr>
    </w:p>
    <w:p>
      <w:pPr>
        <w:widowControl w:val="0"/>
        <w:numPr>
          <w:ilvl w:val="0"/>
          <w:numId w:val="1"/>
        </w:numPr>
        <w:ind w:left="0" w:leftChars="0" w:firstLine="0" w:firstLineChars="0"/>
        <w:jc w:val="both"/>
        <w:rPr>
          <w:rFonts w:hint="default"/>
          <w:sz w:val="21"/>
          <w:szCs w:val="21"/>
          <w:lang w:val="en-US" w:eastAsia="zh-CN"/>
        </w:rPr>
      </w:pPr>
      <w:r>
        <w:rPr>
          <w:rFonts w:hint="eastAsia"/>
          <w:b/>
          <w:bCs/>
          <w:sz w:val="21"/>
          <w:szCs w:val="21"/>
          <w:lang w:val="en-US" w:eastAsia="zh-CN"/>
        </w:rPr>
        <w:t>服务需求</w:t>
      </w:r>
    </w:p>
    <w:p>
      <w:pPr>
        <w:pStyle w:val="6"/>
        <w:keepNext w:val="0"/>
        <w:keepLines w:val="0"/>
        <w:pageBreakBefore w:val="0"/>
        <w:widowControl w:val="0"/>
        <w:shd w:val="clear" w:color="auto" w:fill="auto"/>
        <w:tabs>
          <w:tab w:val="left" w:pos="830"/>
        </w:tabs>
        <w:kinsoku/>
        <w:wordWrap/>
        <w:overflowPunct/>
        <w:topLinePunct w:val="0"/>
        <w:autoSpaceDE/>
        <w:autoSpaceDN/>
        <w:bidi w:val="0"/>
        <w:adjustRightInd/>
        <w:snapToGrid/>
        <w:spacing w:before="0" w:after="0" w:line="360" w:lineRule="auto"/>
        <w:ind w:right="0" w:firstLine="558" w:firstLineChars="266"/>
        <w:jc w:val="both"/>
        <w:textAlignment w:val="auto"/>
        <w:rPr>
          <w:sz w:val="21"/>
          <w:szCs w:val="21"/>
        </w:rPr>
      </w:pPr>
      <w:bookmarkStart w:id="0" w:name="bookmark12"/>
      <w:r>
        <w:rPr>
          <w:color w:val="000000"/>
          <w:spacing w:val="0"/>
          <w:w w:val="100"/>
          <w:position w:val="0"/>
          <w:sz w:val="21"/>
          <w:szCs w:val="21"/>
        </w:rPr>
        <w:t>1</w:t>
      </w:r>
      <w:bookmarkEnd w:id="0"/>
      <w:r>
        <w:rPr>
          <w:color w:val="000000"/>
          <w:spacing w:val="0"/>
          <w:w w:val="100"/>
          <w:position w:val="0"/>
          <w:sz w:val="21"/>
          <w:szCs w:val="21"/>
        </w:rPr>
        <w:t>、日常维护：</w:t>
      </w:r>
      <w:r>
        <w:rPr>
          <w:rFonts w:hint="eastAsia"/>
          <w:color w:val="000000"/>
          <w:spacing w:val="0"/>
          <w:w w:val="100"/>
          <w:position w:val="0"/>
          <w:sz w:val="21"/>
          <w:szCs w:val="21"/>
          <w:lang w:val="en-US" w:eastAsia="zh-CN"/>
        </w:rPr>
        <w:t>负责承担</w:t>
      </w:r>
      <w:r>
        <w:rPr>
          <w:color w:val="000000"/>
          <w:spacing w:val="0"/>
          <w:w w:val="100"/>
          <w:position w:val="0"/>
          <w:sz w:val="21"/>
          <w:szCs w:val="21"/>
        </w:rPr>
        <w:t>液氧站</w:t>
      </w:r>
      <w:r>
        <w:rPr>
          <w:rFonts w:hint="eastAsia"/>
          <w:color w:val="000000"/>
          <w:spacing w:val="0"/>
          <w:w w:val="100"/>
          <w:position w:val="0"/>
          <w:sz w:val="21"/>
          <w:szCs w:val="21"/>
          <w:lang w:val="en-US" w:eastAsia="zh-CN"/>
        </w:rPr>
        <w:t>内</w:t>
      </w:r>
      <w:r>
        <w:rPr>
          <w:color w:val="000000"/>
          <w:spacing w:val="0"/>
          <w:w w:val="100"/>
          <w:position w:val="0"/>
          <w:sz w:val="21"/>
          <w:szCs w:val="21"/>
        </w:rPr>
        <w:t>设备</w:t>
      </w:r>
      <w:r>
        <w:rPr>
          <w:rFonts w:hint="eastAsia"/>
          <w:color w:val="000000"/>
          <w:spacing w:val="0"/>
          <w:w w:val="100"/>
          <w:position w:val="0"/>
          <w:sz w:val="21"/>
          <w:szCs w:val="21"/>
          <w:lang w:val="en-US" w:eastAsia="zh-CN"/>
        </w:rPr>
        <w:t>：</w:t>
      </w:r>
      <w:r>
        <w:rPr>
          <w:color w:val="000000"/>
          <w:spacing w:val="0"/>
          <w:w w:val="100"/>
          <w:position w:val="0"/>
          <w:sz w:val="21"/>
          <w:szCs w:val="21"/>
        </w:rPr>
        <w:t>汇流排设备</w:t>
      </w:r>
      <w:r>
        <w:rPr>
          <w:rFonts w:hint="eastAsia"/>
          <w:color w:val="000000"/>
          <w:spacing w:val="0"/>
          <w:w w:val="100"/>
          <w:position w:val="0"/>
          <w:sz w:val="21"/>
          <w:szCs w:val="21"/>
          <w:lang w:eastAsia="zh-CN"/>
        </w:rPr>
        <w:t>、</w:t>
      </w:r>
      <w:r>
        <w:rPr>
          <w:color w:val="000000"/>
          <w:spacing w:val="0"/>
          <w:w w:val="100"/>
          <w:position w:val="0"/>
          <w:sz w:val="21"/>
          <w:szCs w:val="21"/>
        </w:rPr>
        <w:t>低温贮罐、汽化器、调压装置</w:t>
      </w:r>
      <w:r>
        <w:rPr>
          <w:rFonts w:hint="eastAsia"/>
          <w:color w:val="000000"/>
          <w:spacing w:val="0"/>
          <w:w w:val="100"/>
          <w:position w:val="0"/>
          <w:sz w:val="21"/>
          <w:szCs w:val="21"/>
          <w:lang w:eastAsia="zh-CN"/>
        </w:rPr>
        <w:t>、</w:t>
      </w:r>
      <w:r>
        <w:rPr>
          <w:color w:val="000000"/>
          <w:spacing w:val="0"/>
          <w:w w:val="100"/>
          <w:position w:val="0"/>
          <w:sz w:val="21"/>
          <w:szCs w:val="21"/>
        </w:rPr>
        <w:t>管道、管道法兰附件</w:t>
      </w:r>
      <w:r>
        <w:rPr>
          <w:rFonts w:hint="eastAsia"/>
          <w:color w:val="000000"/>
          <w:spacing w:val="0"/>
          <w:w w:val="100"/>
          <w:position w:val="0"/>
          <w:sz w:val="21"/>
          <w:szCs w:val="21"/>
          <w:lang w:eastAsia="zh-CN"/>
        </w:rPr>
        <w:t>，</w:t>
      </w:r>
      <w:r>
        <w:rPr>
          <w:color w:val="000000"/>
          <w:spacing w:val="0"/>
          <w:w w:val="100"/>
          <w:position w:val="0"/>
          <w:sz w:val="21"/>
          <w:szCs w:val="21"/>
        </w:rPr>
        <w:t>的维修保养</w:t>
      </w:r>
      <w:r>
        <w:rPr>
          <w:rFonts w:hint="eastAsia"/>
          <w:color w:val="000000"/>
          <w:spacing w:val="0"/>
          <w:w w:val="100"/>
          <w:position w:val="0"/>
          <w:sz w:val="21"/>
          <w:szCs w:val="21"/>
          <w:lang w:eastAsia="zh-CN"/>
        </w:rPr>
        <w:t>，</w:t>
      </w:r>
      <w:r>
        <w:rPr>
          <w:rFonts w:hint="eastAsia"/>
          <w:color w:val="000000"/>
          <w:spacing w:val="0"/>
          <w:w w:val="100"/>
          <w:position w:val="0"/>
          <w:sz w:val="21"/>
          <w:szCs w:val="21"/>
          <w:lang w:val="en-US" w:eastAsia="zh-CN"/>
        </w:rPr>
        <w:t>负责承担对压力表、安全阀按</w:t>
      </w:r>
      <w:r>
        <w:rPr>
          <w:rFonts w:hint="eastAsia" w:ascii="微软雅黑" w:hAnsi="微软雅黑" w:eastAsia="微软雅黑" w:cs="微软雅黑"/>
          <w:color w:val="000000"/>
          <w:spacing w:val="0"/>
          <w:w w:val="100"/>
          <w:position w:val="0"/>
          <w:sz w:val="21"/>
          <w:szCs w:val="21"/>
          <w:lang w:val="en-US" w:eastAsia="zh-CN"/>
        </w:rPr>
        <w:t>《</w:t>
      </w:r>
      <w:r>
        <w:rPr>
          <w:rFonts w:hint="eastAsia"/>
          <w:color w:val="000000"/>
          <w:spacing w:val="0"/>
          <w:w w:val="100"/>
          <w:position w:val="0"/>
          <w:sz w:val="21"/>
          <w:szCs w:val="21"/>
          <w:lang w:val="en-US" w:eastAsia="zh-CN"/>
        </w:rPr>
        <w:t>压力容器管理条例</w:t>
      </w:r>
      <w:r>
        <w:rPr>
          <w:rFonts w:hint="eastAsia" w:ascii="微软雅黑" w:hAnsi="微软雅黑" w:eastAsia="微软雅黑" w:cs="微软雅黑"/>
          <w:color w:val="000000"/>
          <w:spacing w:val="0"/>
          <w:w w:val="100"/>
          <w:position w:val="0"/>
          <w:sz w:val="21"/>
          <w:szCs w:val="21"/>
          <w:lang w:val="en-US" w:eastAsia="zh-CN"/>
        </w:rPr>
        <w:t>》</w:t>
      </w:r>
      <w:r>
        <w:rPr>
          <w:rFonts w:hint="eastAsia" w:ascii="宋体" w:hAnsi="宋体" w:eastAsia="宋体" w:cs="宋体"/>
          <w:color w:val="000000"/>
          <w:spacing w:val="0"/>
          <w:w w:val="100"/>
          <w:position w:val="0"/>
          <w:sz w:val="21"/>
          <w:szCs w:val="21"/>
          <w:lang w:val="en-US" w:eastAsia="zh-CN"/>
        </w:rPr>
        <w:t>定期年检更换，</w:t>
      </w:r>
      <w:r>
        <w:rPr>
          <w:rFonts w:hint="eastAsia" w:ascii="宋体" w:hAnsi="宋体" w:eastAsia="宋体" w:cs="宋体"/>
          <w:color w:val="000000"/>
          <w:spacing w:val="0"/>
          <w:w w:val="100"/>
          <w:position w:val="0"/>
          <w:sz w:val="21"/>
          <w:szCs w:val="21"/>
        </w:rPr>
        <w:t>每月对于所有设备进行专项检查，维护，保养，每年进行年度专职检査，均</w:t>
      </w:r>
      <w:r>
        <w:rPr>
          <w:color w:val="000000"/>
          <w:spacing w:val="0"/>
          <w:w w:val="100"/>
          <w:position w:val="0"/>
          <w:sz w:val="21"/>
          <w:szCs w:val="21"/>
        </w:rPr>
        <w:t>要提供日常维护保养记录表单等数据（作为检查依据）。</w:t>
      </w:r>
    </w:p>
    <w:p>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right="0" w:firstLine="558" w:firstLineChars="266"/>
        <w:jc w:val="left"/>
        <w:textAlignment w:val="auto"/>
        <w:rPr>
          <w:sz w:val="21"/>
          <w:szCs w:val="21"/>
        </w:rPr>
      </w:pPr>
      <w:bookmarkStart w:id="1" w:name="bookmark13"/>
      <w:r>
        <w:rPr>
          <w:color w:val="000000"/>
          <w:spacing w:val="0"/>
          <w:w w:val="100"/>
          <w:position w:val="0"/>
          <w:sz w:val="21"/>
          <w:szCs w:val="21"/>
        </w:rPr>
        <w:t>2</w:t>
      </w:r>
      <w:bookmarkEnd w:id="1"/>
      <w:r>
        <w:rPr>
          <w:color w:val="000000"/>
          <w:spacing w:val="0"/>
          <w:w w:val="100"/>
          <w:position w:val="0"/>
          <w:sz w:val="21"/>
          <w:szCs w:val="21"/>
        </w:rPr>
        <w:t>、需定期更换或检査液氧罐体配件如爆破片、易损配件法兰件等，且在我方备用至少一套，以应对突发情况.</w:t>
      </w:r>
    </w:p>
    <w:p>
      <w:pPr>
        <w:pStyle w:val="6"/>
        <w:keepNext w:val="0"/>
        <w:keepLines w:val="0"/>
        <w:pageBreakBefore w:val="0"/>
        <w:widowControl w:val="0"/>
        <w:shd w:val="clear" w:color="auto" w:fill="auto"/>
        <w:tabs>
          <w:tab w:val="left" w:pos="900"/>
        </w:tabs>
        <w:kinsoku/>
        <w:wordWrap/>
        <w:overflowPunct/>
        <w:topLinePunct w:val="0"/>
        <w:autoSpaceDE/>
        <w:autoSpaceDN/>
        <w:bidi w:val="0"/>
        <w:adjustRightInd/>
        <w:snapToGrid/>
        <w:spacing w:before="0" w:after="0" w:line="360" w:lineRule="auto"/>
        <w:ind w:right="0" w:firstLine="558" w:firstLineChars="266"/>
        <w:jc w:val="both"/>
        <w:textAlignment w:val="auto"/>
        <w:rPr>
          <w:color w:val="000000"/>
          <w:spacing w:val="0"/>
          <w:w w:val="100"/>
          <w:position w:val="0"/>
          <w:sz w:val="21"/>
          <w:szCs w:val="21"/>
        </w:rPr>
      </w:pPr>
      <w:r>
        <w:rPr>
          <w:rFonts w:hint="eastAsia"/>
          <w:color w:val="000000"/>
          <w:spacing w:val="0"/>
          <w:w w:val="100"/>
          <w:position w:val="0"/>
          <w:sz w:val="21"/>
          <w:szCs w:val="21"/>
          <w:lang w:val="en-US" w:eastAsia="zh-CN"/>
        </w:rPr>
        <w:t>3</w:t>
      </w:r>
      <w:r>
        <w:rPr>
          <w:color w:val="000000"/>
          <w:spacing w:val="0"/>
          <w:w w:val="100"/>
          <w:position w:val="0"/>
          <w:sz w:val="21"/>
          <w:szCs w:val="21"/>
        </w:rPr>
        <w:t>、乙方专业的设备操作人员会对氧气站的低温储罐、</w:t>
      </w:r>
      <w:r>
        <w:rPr>
          <w:rFonts w:hint="eastAsia"/>
          <w:color w:val="000000"/>
          <w:spacing w:val="0"/>
          <w:w w:val="100"/>
          <w:position w:val="0"/>
          <w:sz w:val="21"/>
          <w:szCs w:val="21"/>
          <w:lang w:val="en-US" w:eastAsia="zh-CN"/>
        </w:rPr>
        <w:t>汽化器</w:t>
      </w:r>
      <w:r>
        <w:rPr>
          <w:color w:val="000000"/>
          <w:spacing w:val="0"/>
          <w:w w:val="100"/>
          <w:position w:val="0"/>
          <w:sz w:val="21"/>
          <w:szCs w:val="21"/>
        </w:rPr>
        <w:t>、调压装置、管道设备等进行例行的检查、维护、保养，并填写检査、维护、 保养记录。</w:t>
      </w:r>
    </w:p>
    <w:p>
      <w:pPr>
        <w:pStyle w:val="6"/>
        <w:keepNext w:val="0"/>
        <w:keepLines w:val="0"/>
        <w:pageBreakBefore w:val="0"/>
        <w:widowControl w:val="0"/>
        <w:shd w:val="clear" w:color="auto" w:fill="auto"/>
        <w:tabs>
          <w:tab w:val="left" w:pos="900"/>
        </w:tabs>
        <w:kinsoku/>
        <w:wordWrap/>
        <w:overflowPunct/>
        <w:topLinePunct w:val="0"/>
        <w:autoSpaceDE/>
        <w:autoSpaceDN/>
        <w:bidi w:val="0"/>
        <w:adjustRightInd/>
        <w:snapToGrid/>
        <w:spacing w:before="0" w:after="0" w:line="360" w:lineRule="auto"/>
        <w:ind w:right="0" w:firstLine="558" w:firstLineChars="266"/>
        <w:jc w:val="both"/>
        <w:textAlignment w:val="auto"/>
        <w:rPr>
          <w:rFonts w:hint="default" w:eastAsia="宋体"/>
          <w:color w:val="000000"/>
          <w:spacing w:val="0"/>
          <w:w w:val="100"/>
          <w:position w:val="0"/>
          <w:sz w:val="21"/>
          <w:szCs w:val="21"/>
          <w:lang w:val="en-US" w:eastAsia="zh-CN"/>
        </w:rPr>
      </w:pPr>
      <w:r>
        <w:rPr>
          <w:rFonts w:hint="eastAsia"/>
          <w:color w:val="000000"/>
          <w:spacing w:val="0"/>
          <w:w w:val="100"/>
          <w:position w:val="0"/>
          <w:sz w:val="21"/>
          <w:szCs w:val="21"/>
          <w:lang w:val="en-US" w:eastAsia="zh-CN"/>
        </w:rPr>
        <w:t>4、服务期间，遇突发情况，响应时间必须在2小时内到达现场处理。</w:t>
      </w:r>
    </w:p>
    <w:p>
      <w:pPr>
        <w:pStyle w:val="6"/>
        <w:keepNext w:val="0"/>
        <w:keepLines w:val="0"/>
        <w:pageBreakBefore w:val="0"/>
        <w:widowControl w:val="0"/>
        <w:shd w:val="clear" w:color="auto" w:fill="auto"/>
        <w:tabs>
          <w:tab w:val="left" w:pos="900"/>
        </w:tabs>
        <w:kinsoku/>
        <w:wordWrap/>
        <w:overflowPunct/>
        <w:topLinePunct w:val="0"/>
        <w:autoSpaceDE/>
        <w:autoSpaceDN/>
        <w:bidi w:val="0"/>
        <w:adjustRightInd/>
        <w:snapToGrid/>
        <w:spacing w:before="0" w:after="0" w:line="360" w:lineRule="auto"/>
        <w:ind w:right="0" w:firstLine="558" w:firstLineChars="266"/>
        <w:jc w:val="both"/>
        <w:textAlignment w:val="auto"/>
        <w:rPr>
          <w:sz w:val="21"/>
          <w:szCs w:val="21"/>
        </w:rPr>
      </w:pPr>
      <w:r>
        <w:rPr>
          <w:rFonts w:hint="eastAsia"/>
          <w:color w:val="000000"/>
          <w:spacing w:val="0"/>
          <w:w w:val="100"/>
          <w:position w:val="0"/>
          <w:sz w:val="21"/>
          <w:szCs w:val="21"/>
          <w:lang w:val="en-US" w:eastAsia="zh-CN"/>
        </w:rPr>
        <w:t>5</w:t>
      </w:r>
      <w:r>
        <w:rPr>
          <w:color w:val="000000"/>
          <w:spacing w:val="0"/>
          <w:w w:val="100"/>
          <w:position w:val="0"/>
          <w:sz w:val="21"/>
          <w:szCs w:val="21"/>
        </w:rPr>
        <w:t>、每年乙方组织一次由工程师为组长的专业检查组，对氧气站的储罐、管道、蒸发器、调压装置设备进行年度专职的检查，并将检査结果报医院的对口管理部门，同时报省级或杭州市质量技术监督局。</w:t>
      </w:r>
    </w:p>
    <w:p>
      <w:pPr>
        <w:pStyle w:val="6"/>
        <w:keepNext w:val="0"/>
        <w:keepLines w:val="0"/>
        <w:pageBreakBefore w:val="0"/>
        <w:widowControl w:val="0"/>
        <w:shd w:val="clear" w:color="auto" w:fill="auto"/>
        <w:tabs>
          <w:tab w:val="left" w:pos="1123"/>
        </w:tabs>
        <w:kinsoku/>
        <w:wordWrap/>
        <w:overflowPunct/>
        <w:topLinePunct w:val="0"/>
        <w:autoSpaceDE/>
        <w:autoSpaceDN/>
        <w:bidi w:val="0"/>
        <w:adjustRightInd/>
        <w:snapToGrid/>
        <w:spacing w:before="0" w:after="0" w:line="360" w:lineRule="auto"/>
        <w:ind w:right="0" w:firstLine="558" w:firstLineChars="266"/>
        <w:jc w:val="both"/>
        <w:textAlignment w:val="auto"/>
        <w:rPr>
          <w:sz w:val="21"/>
          <w:szCs w:val="21"/>
        </w:rPr>
      </w:pPr>
      <w:r>
        <w:rPr>
          <w:rFonts w:hint="eastAsia"/>
          <w:color w:val="000000"/>
          <w:spacing w:val="0"/>
          <w:w w:val="100"/>
          <w:position w:val="0"/>
          <w:sz w:val="21"/>
          <w:szCs w:val="21"/>
          <w:lang w:val="en-US" w:eastAsia="zh-CN"/>
        </w:rPr>
        <w:t>6</w:t>
      </w:r>
      <w:r>
        <w:rPr>
          <w:color w:val="000000"/>
          <w:spacing w:val="0"/>
          <w:w w:val="100"/>
          <w:position w:val="0"/>
          <w:sz w:val="21"/>
          <w:szCs w:val="21"/>
        </w:rPr>
        <w:t>、</w:t>
      </w:r>
      <w:r>
        <w:rPr>
          <w:rFonts w:hint="eastAsia"/>
          <w:color w:val="000000"/>
          <w:spacing w:val="0"/>
          <w:w w:val="100"/>
          <w:position w:val="0"/>
          <w:sz w:val="21"/>
          <w:szCs w:val="21"/>
          <w:lang w:val="en-US" w:eastAsia="zh-CN"/>
        </w:rPr>
        <w:t>乙炔</w:t>
      </w:r>
      <w:r>
        <w:rPr>
          <w:color w:val="000000"/>
          <w:spacing w:val="0"/>
          <w:w w:val="100"/>
          <w:position w:val="0"/>
          <w:sz w:val="21"/>
          <w:szCs w:val="21"/>
        </w:rPr>
        <w:t>的检测及排放方案：乙方定期每</w:t>
      </w:r>
      <w:r>
        <w:rPr>
          <w:rFonts w:hint="eastAsia"/>
          <w:color w:val="000000"/>
          <w:spacing w:val="0"/>
          <w:w w:val="100"/>
          <w:position w:val="0"/>
          <w:sz w:val="21"/>
          <w:szCs w:val="21"/>
          <w:lang w:val="en-US" w:eastAsia="zh-CN"/>
        </w:rPr>
        <w:t>年</w:t>
      </w:r>
      <w:r>
        <w:rPr>
          <w:color w:val="000000"/>
          <w:spacing w:val="0"/>
          <w:w w:val="100"/>
          <w:position w:val="0"/>
          <w:sz w:val="21"/>
          <w:szCs w:val="21"/>
        </w:rPr>
        <w:t>检测一次液氧的</w:t>
      </w:r>
      <w:r>
        <w:rPr>
          <w:rFonts w:hint="eastAsia"/>
          <w:color w:val="000000"/>
          <w:spacing w:val="0"/>
          <w:w w:val="100"/>
          <w:position w:val="0"/>
          <w:sz w:val="21"/>
          <w:szCs w:val="21"/>
          <w:lang w:val="en-US" w:eastAsia="zh-CN"/>
        </w:rPr>
        <w:t>乙炔</w:t>
      </w:r>
      <w:r>
        <w:rPr>
          <w:color w:val="000000"/>
          <w:spacing w:val="0"/>
          <w:w w:val="100"/>
          <w:position w:val="0"/>
          <w:sz w:val="21"/>
          <w:szCs w:val="21"/>
        </w:rPr>
        <w:t>含量，当检测到</w:t>
      </w:r>
      <w:r>
        <w:rPr>
          <w:rFonts w:hint="eastAsia"/>
          <w:color w:val="000000"/>
          <w:spacing w:val="0"/>
          <w:w w:val="100"/>
          <w:position w:val="0"/>
          <w:sz w:val="21"/>
          <w:szCs w:val="21"/>
          <w:lang w:val="en-US" w:eastAsia="zh-CN"/>
        </w:rPr>
        <w:t>乙炔</w:t>
      </w:r>
      <w:r>
        <w:rPr>
          <w:color w:val="000000"/>
          <w:spacing w:val="0"/>
          <w:w w:val="100"/>
          <w:position w:val="0"/>
          <w:sz w:val="21"/>
          <w:szCs w:val="21"/>
        </w:rPr>
        <w:t>含量超过国家标准规定的</w:t>
      </w:r>
      <w:r>
        <w:rPr>
          <w:color w:val="000000"/>
          <w:spacing w:val="0"/>
          <w:w w:val="100"/>
          <w:position w:val="0"/>
          <w:sz w:val="21"/>
          <w:szCs w:val="21"/>
          <w:lang w:val="en-US" w:eastAsia="en-US" w:bidi="en-US"/>
        </w:rPr>
        <w:t>0.1x10-6</w:t>
      </w:r>
      <w:r>
        <w:rPr>
          <w:color w:val="000000"/>
          <w:spacing w:val="0"/>
          <w:w w:val="100"/>
          <w:position w:val="0"/>
          <w:sz w:val="21"/>
          <w:szCs w:val="21"/>
        </w:rPr>
        <w:t>时，即对液氧贮罐里的液氧进行排放和补充新的液氧。检测人员在现场检测到</w:t>
      </w:r>
      <w:r>
        <w:rPr>
          <w:rFonts w:hint="eastAsia"/>
          <w:color w:val="000000"/>
          <w:spacing w:val="0"/>
          <w:w w:val="100"/>
          <w:position w:val="0"/>
          <w:sz w:val="21"/>
          <w:szCs w:val="21"/>
          <w:lang w:val="en-US" w:eastAsia="zh-CN"/>
        </w:rPr>
        <w:t>乙炔</w:t>
      </w:r>
      <w:r>
        <w:rPr>
          <w:color w:val="000000"/>
          <w:spacing w:val="0"/>
          <w:w w:val="100"/>
          <w:position w:val="0"/>
          <w:sz w:val="21"/>
          <w:szCs w:val="21"/>
        </w:rPr>
        <w:t>含量超过标准规定值时，即将检测结果报告公司，公司在检测结果出来后的12小时内，组织新的医用液氧和调集空的液氧槽车到达现场进行液氧贮罐内的液氧排放（排至空的液氧槽车内，运至安全地方处理）和新的医用液氧补充。并对贮罐进行置换，直至贮罐内的</w:t>
      </w:r>
      <w:r>
        <w:rPr>
          <w:rFonts w:hint="eastAsia"/>
          <w:color w:val="000000"/>
          <w:spacing w:val="0"/>
          <w:w w:val="100"/>
          <w:position w:val="0"/>
          <w:sz w:val="21"/>
          <w:szCs w:val="21"/>
          <w:lang w:val="en-US" w:eastAsia="zh-CN"/>
        </w:rPr>
        <w:t>乙炔</w:t>
      </w:r>
      <w:r>
        <w:rPr>
          <w:color w:val="000000"/>
          <w:spacing w:val="0"/>
          <w:w w:val="100"/>
          <w:position w:val="0"/>
          <w:sz w:val="21"/>
          <w:szCs w:val="21"/>
        </w:rPr>
        <w:t>含量符合国家标准要求。排放和补充操作按低温贮罐操作规程执行。</w:t>
      </w:r>
    </w:p>
    <w:p>
      <w:pPr>
        <w:pStyle w:val="6"/>
        <w:keepNext w:val="0"/>
        <w:keepLines w:val="0"/>
        <w:pageBreakBefore w:val="0"/>
        <w:widowControl w:val="0"/>
        <w:shd w:val="clear" w:color="auto" w:fill="auto"/>
        <w:tabs>
          <w:tab w:val="left" w:pos="1123"/>
        </w:tabs>
        <w:kinsoku/>
        <w:wordWrap/>
        <w:overflowPunct/>
        <w:topLinePunct w:val="0"/>
        <w:autoSpaceDE/>
        <w:autoSpaceDN/>
        <w:bidi w:val="0"/>
        <w:adjustRightInd/>
        <w:snapToGrid/>
        <w:spacing w:before="0" w:after="0" w:line="360" w:lineRule="auto"/>
        <w:ind w:left="0" w:leftChars="0" w:right="0" w:firstLine="420" w:firstLineChars="200"/>
        <w:jc w:val="both"/>
        <w:textAlignment w:val="auto"/>
        <w:rPr>
          <w:rFonts w:hint="default"/>
          <w:color w:val="000000"/>
          <w:spacing w:val="0"/>
          <w:w w:val="100"/>
          <w:position w:val="0"/>
          <w:sz w:val="21"/>
          <w:szCs w:val="21"/>
          <w:lang w:val="en-US" w:eastAsia="zh-CN"/>
        </w:rPr>
      </w:pPr>
      <w:r>
        <w:rPr>
          <w:rFonts w:hint="eastAsia"/>
          <w:color w:val="000000"/>
          <w:spacing w:val="0"/>
          <w:w w:val="100"/>
          <w:position w:val="0"/>
          <w:sz w:val="21"/>
          <w:szCs w:val="21"/>
          <w:lang w:val="en-US" w:eastAsia="zh-CN"/>
        </w:rPr>
        <w:t>7、产品质量要求：确保供货产品质量，严禁以次充好，需提供相关生产资质证书以及产品</w:t>
      </w:r>
      <w:bookmarkStart w:id="2" w:name="_GoBack"/>
      <w:bookmarkEnd w:id="2"/>
      <w:r>
        <w:rPr>
          <w:rFonts w:hint="eastAsia"/>
          <w:color w:val="000000"/>
          <w:spacing w:val="0"/>
          <w:w w:val="100"/>
          <w:position w:val="0"/>
          <w:sz w:val="21"/>
          <w:szCs w:val="21"/>
          <w:lang w:val="en-US" w:eastAsia="zh-CN"/>
        </w:rPr>
        <w:t>检测报告等。</w:t>
      </w:r>
    </w:p>
    <w:p>
      <w:pPr>
        <w:pStyle w:val="6"/>
        <w:keepNext w:val="0"/>
        <w:keepLines w:val="0"/>
        <w:pageBreakBefore w:val="0"/>
        <w:widowControl w:val="0"/>
        <w:shd w:val="clear" w:color="auto" w:fill="auto"/>
        <w:tabs>
          <w:tab w:val="left" w:pos="1123"/>
        </w:tabs>
        <w:kinsoku/>
        <w:wordWrap/>
        <w:overflowPunct/>
        <w:topLinePunct w:val="0"/>
        <w:autoSpaceDE/>
        <w:autoSpaceDN/>
        <w:bidi w:val="0"/>
        <w:adjustRightInd/>
        <w:snapToGrid/>
        <w:spacing w:before="0" w:after="0" w:line="360" w:lineRule="auto"/>
        <w:ind w:left="0" w:leftChars="0" w:right="0" w:firstLine="420" w:firstLineChars="200"/>
        <w:jc w:val="both"/>
        <w:textAlignment w:val="auto"/>
        <w:rPr>
          <w:color w:val="000000"/>
          <w:spacing w:val="0"/>
          <w:w w:val="100"/>
          <w:position w:val="0"/>
          <w:sz w:val="21"/>
          <w:szCs w:val="21"/>
        </w:rPr>
      </w:pPr>
      <w:r>
        <w:rPr>
          <w:rFonts w:hint="eastAsia"/>
          <w:color w:val="000000"/>
          <w:spacing w:val="0"/>
          <w:w w:val="100"/>
          <w:position w:val="0"/>
          <w:sz w:val="21"/>
          <w:szCs w:val="21"/>
          <w:lang w:val="en-US" w:eastAsia="zh-CN"/>
        </w:rPr>
        <w:t>8</w:t>
      </w:r>
      <w:r>
        <w:rPr>
          <w:color w:val="000000"/>
          <w:spacing w:val="0"/>
          <w:w w:val="100"/>
          <w:position w:val="0"/>
          <w:sz w:val="21"/>
          <w:szCs w:val="21"/>
        </w:rPr>
        <w:t xml:space="preserve">、其它技术类指导以及配合医院完成其他工作事宜，如应急预案演练等。 </w:t>
      </w:r>
    </w:p>
    <w:p>
      <w:pPr>
        <w:widowControl w:val="0"/>
        <w:numPr>
          <w:ilvl w:val="0"/>
          <w:numId w:val="0"/>
        </w:numPr>
        <w:jc w:val="both"/>
        <w:rPr>
          <w:rFonts w:hint="default"/>
          <w:sz w:val="21"/>
          <w:szCs w:val="21"/>
          <w:lang w:val="en-US" w:eastAsia="zh-CN"/>
        </w:rPr>
      </w:pPr>
    </w:p>
    <w:p>
      <w:pPr>
        <w:widowControl w:val="0"/>
        <w:numPr>
          <w:ilvl w:val="0"/>
          <w:numId w:val="0"/>
        </w:numPr>
        <w:jc w:val="both"/>
        <w:rPr>
          <w:rFonts w:hint="eastAsia"/>
          <w:b/>
          <w:bCs/>
          <w:sz w:val="21"/>
          <w:szCs w:val="21"/>
          <w:lang w:val="en-US" w:eastAsia="zh-CN"/>
        </w:rPr>
      </w:pPr>
      <w:r>
        <w:rPr>
          <w:rFonts w:hint="eastAsia"/>
          <w:b/>
          <w:bCs/>
          <w:sz w:val="21"/>
          <w:szCs w:val="21"/>
          <w:lang w:val="en-US" w:eastAsia="zh-CN"/>
        </w:rPr>
        <w:t>其他材料报价：</w:t>
      </w:r>
    </w:p>
    <w:p>
      <w:pPr>
        <w:widowControl w:val="0"/>
        <w:numPr>
          <w:ilvl w:val="0"/>
          <w:numId w:val="0"/>
        </w:numPr>
        <w:jc w:val="both"/>
        <w:rPr>
          <w:rFonts w:hint="eastAsia"/>
          <w:sz w:val="21"/>
          <w:szCs w:val="21"/>
          <w:lang w:val="en-US" w:eastAsia="zh-CN"/>
        </w:rPr>
      </w:pPr>
    </w:p>
    <w:tbl>
      <w:tblPr>
        <w:tblStyle w:val="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418"/>
        <w:gridCol w:w="1418"/>
        <w:gridCol w:w="1418"/>
        <w:gridCol w:w="1421"/>
        <w:gridCol w:w="1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序号</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货物名称</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数量</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单位</w:t>
            </w:r>
          </w:p>
        </w:tc>
        <w:tc>
          <w:tcPr>
            <w:tcW w:w="834"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单价（元）</w:t>
            </w:r>
          </w:p>
        </w:tc>
        <w:tc>
          <w:tcPr>
            <w:tcW w:w="835"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1</w:t>
            </w:r>
          </w:p>
        </w:tc>
        <w:tc>
          <w:tcPr>
            <w:tcW w:w="832" w:type="pct"/>
            <w:vAlign w:val="center"/>
          </w:tcPr>
          <w:p>
            <w:pPr>
              <w:widowControl w:val="0"/>
              <w:numPr>
                <w:ilvl w:val="0"/>
                <w:numId w:val="0"/>
              </w:numPr>
              <w:jc w:val="center"/>
              <w:rPr>
                <w:rFonts w:hint="default"/>
                <w:sz w:val="21"/>
                <w:szCs w:val="21"/>
                <w:vertAlign w:val="baseline"/>
                <w:lang w:val="en-US" w:eastAsia="zh-CN"/>
              </w:rPr>
            </w:pPr>
            <w:r>
              <w:rPr>
                <w:color w:val="000000"/>
                <w:spacing w:val="0"/>
                <w:w w:val="100"/>
                <w:position w:val="0"/>
                <w:sz w:val="20"/>
                <w:szCs w:val="20"/>
                <w:lang w:val="en-US" w:eastAsia="en-US" w:bidi="en-US"/>
              </w:rPr>
              <w:t>40L</w:t>
            </w:r>
            <w:r>
              <w:rPr>
                <w:color w:val="000000"/>
                <w:spacing w:val="0"/>
                <w:w w:val="100"/>
                <w:position w:val="0"/>
              </w:rPr>
              <w:t>钢瓶</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1</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只</w:t>
            </w:r>
          </w:p>
        </w:tc>
        <w:tc>
          <w:tcPr>
            <w:tcW w:w="834" w:type="pct"/>
            <w:vAlign w:val="center"/>
          </w:tcPr>
          <w:p>
            <w:pPr>
              <w:widowControl w:val="0"/>
              <w:numPr>
                <w:ilvl w:val="0"/>
                <w:numId w:val="0"/>
              </w:numPr>
              <w:jc w:val="center"/>
              <w:rPr>
                <w:rFonts w:hint="default"/>
                <w:sz w:val="21"/>
                <w:szCs w:val="21"/>
                <w:vertAlign w:val="baseline"/>
                <w:lang w:val="en-US" w:eastAsia="zh-CN"/>
              </w:rPr>
            </w:pPr>
          </w:p>
        </w:tc>
        <w:tc>
          <w:tcPr>
            <w:tcW w:w="835" w:type="pct"/>
            <w:vAlign w:val="center"/>
          </w:tcPr>
          <w:p>
            <w:pPr>
              <w:widowControl w:val="0"/>
              <w:numPr>
                <w:ilvl w:val="0"/>
                <w:numId w:val="0"/>
              </w:numPr>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2</w:t>
            </w:r>
          </w:p>
        </w:tc>
        <w:tc>
          <w:tcPr>
            <w:tcW w:w="832" w:type="pct"/>
            <w:vAlign w:val="center"/>
          </w:tcPr>
          <w:p>
            <w:pPr>
              <w:widowControl w:val="0"/>
              <w:numPr>
                <w:ilvl w:val="0"/>
                <w:numId w:val="0"/>
              </w:numPr>
              <w:jc w:val="center"/>
              <w:rPr>
                <w:rFonts w:hint="default"/>
                <w:sz w:val="21"/>
                <w:szCs w:val="21"/>
                <w:vertAlign w:val="baseline"/>
                <w:lang w:val="en-US" w:eastAsia="zh-CN"/>
              </w:rPr>
            </w:pPr>
            <w:r>
              <w:rPr>
                <w:color w:val="000000"/>
                <w:spacing w:val="0"/>
                <w:w w:val="100"/>
                <w:position w:val="0"/>
                <w:sz w:val="20"/>
                <w:szCs w:val="20"/>
                <w:lang w:val="en-US" w:eastAsia="en-US" w:bidi="en-US"/>
              </w:rPr>
              <w:t>10L</w:t>
            </w:r>
            <w:r>
              <w:rPr>
                <w:color w:val="000000"/>
                <w:spacing w:val="0"/>
                <w:w w:val="100"/>
                <w:position w:val="0"/>
              </w:rPr>
              <w:t>钢瓶</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1</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只</w:t>
            </w:r>
          </w:p>
        </w:tc>
        <w:tc>
          <w:tcPr>
            <w:tcW w:w="834" w:type="pct"/>
            <w:vAlign w:val="center"/>
          </w:tcPr>
          <w:p>
            <w:pPr>
              <w:widowControl w:val="0"/>
              <w:numPr>
                <w:ilvl w:val="0"/>
                <w:numId w:val="0"/>
              </w:numPr>
              <w:jc w:val="center"/>
              <w:rPr>
                <w:rFonts w:hint="default"/>
                <w:sz w:val="21"/>
                <w:szCs w:val="21"/>
                <w:vertAlign w:val="baseline"/>
                <w:lang w:val="en-US" w:eastAsia="zh-CN"/>
              </w:rPr>
            </w:pPr>
          </w:p>
        </w:tc>
        <w:tc>
          <w:tcPr>
            <w:tcW w:w="835" w:type="pct"/>
            <w:vAlign w:val="center"/>
          </w:tcPr>
          <w:p>
            <w:pPr>
              <w:widowControl w:val="0"/>
              <w:numPr>
                <w:ilvl w:val="0"/>
                <w:numId w:val="0"/>
              </w:numPr>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3</w:t>
            </w:r>
          </w:p>
        </w:tc>
        <w:tc>
          <w:tcPr>
            <w:tcW w:w="832" w:type="pct"/>
            <w:vAlign w:val="center"/>
          </w:tcPr>
          <w:p>
            <w:pPr>
              <w:widowControl w:val="0"/>
              <w:numPr>
                <w:ilvl w:val="0"/>
                <w:numId w:val="0"/>
              </w:numPr>
              <w:jc w:val="center"/>
              <w:rPr>
                <w:rFonts w:hint="default"/>
                <w:sz w:val="21"/>
                <w:szCs w:val="21"/>
                <w:vertAlign w:val="baseline"/>
                <w:lang w:val="en-US" w:eastAsia="zh-CN"/>
              </w:rPr>
            </w:pPr>
            <w:r>
              <w:rPr>
                <w:color w:val="000000"/>
                <w:spacing w:val="0"/>
                <w:w w:val="100"/>
                <w:position w:val="0"/>
                <w:sz w:val="20"/>
                <w:szCs w:val="20"/>
                <w:lang w:val="en-US" w:eastAsia="en-US" w:bidi="en-US"/>
              </w:rPr>
              <w:t>4L</w:t>
            </w:r>
            <w:r>
              <w:rPr>
                <w:color w:val="000000"/>
                <w:spacing w:val="0"/>
                <w:w w:val="100"/>
                <w:position w:val="0"/>
              </w:rPr>
              <w:t>钢瓶</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1</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只</w:t>
            </w:r>
          </w:p>
        </w:tc>
        <w:tc>
          <w:tcPr>
            <w:tcW w:w="834" w:type="pct"/>
            <w:vAlign w:val="center"/>
          </w:tcPr>
          <w:p>
            <w:pPr>
              <w:widowControl w:val="0"/>
              <w:numPr>
                <w:ilvl w:val="0"/>
                <w:numId w:val="0"/>
              </w:numPr>
              <w:jc w:val="center"/>
              <w:rPr>
                <w:rFonts w:hint="default"/>
                <w:sz w:val="21"/>
                <w:szCs w:val="21"/>
                <w:vertAlign w:val="baseline"/>
                <w:lang w:val="en-US" w:eastAsia="zh-CN"/>
              </w:rPr>
            </w:pPr>
          </w:p>
        </w:tc>
        <w:tc>
          <w:tcPr>
            <w:tcW w:w="835" w:type="pct"/>
            <w:vAlign w:val="center"/>
          </w:tcPr>
          <w:p>
            <w:pPr>
              <w:widowControl w:val="0"/>
              <w:numPr>
                <w:ilvl w:val="0"/>
                <w:numId w:val="0"/>
              </w:numPr>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4</w:t>
            </w:r>
          </w:p>
        </w:tc>
        <w:tc>
          <w:tcPr>
            <w:tcW w:w="832" w:type="pct"/>
            <w:vAlign w:val="center"/>
          </w:tcPr>
          <w:p>
            <w:pPr>
              <w:widowControl w:val="0"/>
              <w:numPr>
                <w:ilvl w:val="0"/>
                <w:numId w:val="0"/>
              </w:numPr>
              <w:jc w:val="center"/>
              <w:rPr>
                <w:rFonts w:hint="default"/>
                <w:sz w:val="21"/>
                <w:szCs w:val="21"/>
                <w:vertAlign w:val="baseline"/>
                <w:lang w:val="en-US" w:eastAsia="zh-CN"/>
              </w:rPr>
            </w:pPr>
            <w:r>
              <w:rPr>
                <w:color w:val="000000"/>
                <w:spacing w:val="0"/>
                <w:w w:val="100"/>
                <w:position w:val="0"/>
                <w:sz w:val="20"/>
                <w:szCs w:val="20"/>
                <w:lang w:val="en-US" w:eastAsia="en-US" w:bidi="en-US"/>
              </w:rPr>
              <w:t>3L</w:t>
            </w:r>
            <w:r>
              <w:rPr>
                <w:color w:val="000000"/>
                <w:spacing w:val="0"/>
                <w:w w:val="100"/>
                <w:position w:val="0"/>
              </w:rPr>
              <w:t>钢瓶</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1</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只</w:t>
            </w:r>
          </w:p>
        </w:tc>
        <w:tc>
          <w:tcPr>
            <w:tcW w:w="834" w:type="pct"/>
            <w:vAlign w:val="center"/>
          </w:tcPr>
          <w:p>
            <w:pPr>
              <w:widowControl w:val="0"/>
              <w:numPr>
                <w:ilvl w:val="0"/>
                <w:numId w:val="0"/>
              </w:numPr>
              <w:jc w:val="center"/>
              <w:rPr>
                <w:rFonts w:hint="default"/>
                <w:sz w:val="21"/>
                <w:szCs w:val="21"/>
                <w:vertAlign w:val="baseline"/>
                <w:lang w:val="en-US" w:eastAsia="zh-CN"/>
              </w:rPr>
            </w:pPr>
          </w:p>
        </w:tc>
        <w:tc>
          <w:tcPr>
            <w:tcW w:w="835" w:type="pct"/>
            <w:vAlign w:val="center"/>
          </w:tcPr>
          <w:p>
            <w:pPr>
              <w:widowControl w:val="0"/>
              <w:numPr>
                <w:ilvl w:val="0"/>
                <w:numId w:val="0"/>
              </w:numPr>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5</w:t>
            </w:r>
          </w:p>
        </w:tc>
        <w:tc>
          <w:tcPr>
            <w:tcW w:w="832" w:type="pct"/>
            <w:vAlign w:val="center"/>
          </w:tcPr>
          <w:p>
            <w:pPr>
              <w:widowControl w:val="0"/>
              <w:numPr>
                <w:ilvl w:val="0"/>
                <w:numId w:val="0"/>
              </w:numPr>
              <w:jc w:val="center"/>
              <w:rPr>
                <w:color w:val="000000"/>
                <w:spacing w:val="0"/>
                <w:w w:val="100"/>
                <w:position w:val="0"/>
                <w:sz w:val="20"/>
                <w:szCs w:val="20"/>
                <w:lang w:val="en-US" w:eastAsia="en-US" w:bidi="en-US"/>
              </w:rPr>
            </w:pPr>
            <w:r>
              <w:rPr>
                <w:color w:val="000000"/>
                <w:spacing w:val="0"/>
                <w:w w:val="100"/>
                <w:position w:val="0"/>
                <w:sz w:val="20"/>
                <w:szCs w:val="20"/>
                <w:lang w:val="en-US" w:eastAsia="en-US" w:bidi="en-US"/>
              </w:rPr>
              <w:t>2L</w:t>
            </w:r>
            <w:r>
              <w:rPr>
                <w:color w:val="000000"/>
                <w:spacing w:val="0"/>
                <w:w w:val="100"/>
                <w:position w:val="0"/>
              </w:rPr>
              <w:t>钢瓶</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1</w:t>
            </w:r>
          </w:p>
        </w:tc>
        <w:tc>
          <w:tcPr>
            <w:tcW w:w="832" w:type="pct"/>
            <w:vAlign w:val="center"/>
          </w:tcPr>
          <w:p>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只</w:t>
            </w:r>
          </w:p>
        </w:tc>
        <w:tc>
          <w:tcPr>
            <w:tcW w:w="834" w:type="pct"/>
            <w:vAlign w:val="center"/>
          </w:tcPr>
          <w:p>
            <w:pPr>
              <w:widowControl w:val="0"/>
              <w:numPr>
                <w:ilvl w:val="0"/>
                <w:numId w:val="0"/>
              </w:numPr>
              <w:jc w:val="center"/>
              <w:rPr>
                <w:rFonts w:hint="default"/>
                <w:sz w:val="21"/>
                <w:szCs w:val="21"/>
                <w:vertAlign w:val="baseline"/>
                <w:lang w:val="en-US" w:eastAsia="zh-CN"/>
              </w:rPr>
            </w:pPr>
          </w:p>
        </w:tc>
        <w:tc>
          <w:tcPr>
            <w:tcW w:w="835" w:type="pct"/>
            <w:vAlign w:val="center"/>
          </w:tcPr>
          <w:p>
            <w:pPr>
              <w:widowControl w:val="0"/>
              <w:numPr>
                <w:ilvl w:val="0"/>
                <w:numId w:val="0"/>
              </w:numPr>
              <w:jc w:val="center"/>
              <w:rPr>
                <w:rFonts w:hint="default"/>
                <w:sz w:val="21"/>
                <w:szCs w:val="21"/>
                <w:vertAlign w:val="baseline"/>
                <w:lang w:val="en-US" w:eastAsia="zh-CN"/>
              </w:rPr>
            </w:pPr>
          </w:p>
        </w:tc>
      </w:tr>
    </w:tbl>
    <w:p>
      <w:pPr>
        <w:widowControl w:val="0"/>
        <w:numPr>
          <w:ilvl w:val="0"/>
          <w:numId w:val="0"/>
        </w:numPr>
        <w:jc w:val="both"/>
        <w:rPr>
          <w:rFonts w:hint="default"/>
          <w:sz w:val="21"/>
          <w:szCs w:val="21"/>
          <w:lang w:val="en-US" w:eastAsia="zh-CN"/>
        </w:rPr>
      </w:pPr>
      <w:r>
        <w:rPr>
          <w:rFonts w:hint="eastAsia"/>
          <w:sz w:val="21"/>
          <w:szCs w:val="21"/>
          <w:lang w:val="en-US" w:eastAsia="zh-CN"/>
        </w:rPr>
        <w:t>注：有需求时按照该报价清单价格采购货物。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2CD162"/>
    <w:multiLevelType w:val="singleLevel"/>
    <w:tmpl w:val="CE2CD16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mMWJjNDE0ZjVmNWEzMWU4NmNiYTUwOTcwZWFmMzAifQ=="/>
  </w:docVars>
  <w:rsids>
    <w:rsidRoot w:val="00160296"/>
    <w:rsid w:val="00160296"/>
    <w:rsid w:val="5B3A2004"/>
    <w:rsid w:val="619D3C3E"/>
    <w:rsid w:val="6A0665EE"/>
    <w:rsid w:val="73600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Other|1"/>
    <w:basedOn w:val="1"/>
    <w:qFormat/>
    <w:uiPriority w:val="0"/>
    <w:pPr>
      <w:widowControl w:val="0"/>
      <w:shd w:val="clear" w:color="auto" w:fill="auto"/>
      <w:spacing w:line="442" w:lineRule="auto"/>
      <w:ind w:firstLine="400"/>
    </w:pPr>
    <w:rPr>
      <w:rFonts w:ascii="宋体" w:hAnsi="宋体" w:eastAsia="宋体" w:cs="宋体"/>
      <w:sz w:val="22"/>
      <w:szCs w:val="22"/>
      <w:u w:val="none"/>
      <w:shd w:val="clear" w:color="auto" w:fill="auto"/>
      <w:lang w:val="zh-TW" w:eastAsia="zh-TW" w:bidi="zh-TW"/>
    </w:rPr>
  </w:style>
  <w:style w:type="paragraph" w:customStyle="1" w:styleId="6">
    <w:name w:val="Body text|1"/>
    <w:basedOn w:val="1"/>
    <w:qFormat/>
    <w:uiPriority w:val="0"/>
    <w:pPr>
      <w:widowControl w:val="0"/>
      <w:shd w:val="clear" w:color="auto" w:fill="auto"/>
      <w:spacing w:line="442"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893</Words>
  <Characters>935</Characters>
  <Lines>0</Lines>
  <Paragraphs>0</Paragraphs>
  <TotalTime>6</TotalTime>
  <ScaleCrop>false</ScaleCrop>
  <LinksUpToDate>false</LinksUpToDate>
  <CharactersWithSpaces>940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2022-05-26T06:28:00Z</dcterms:created>
  <dc:creator>南汝晨</dc:creator>
  <cp:lastModifiedBy>南汝晨</cp:lastModifiedBy>
  <dcterms:modified xsi:type="dcterms:W3CDTF">2022-05-30T09:17:13Z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004130F117DD44CEA59D6996A8318A3E</vt:lpwstr>
  </property>
</Properties>
</file>