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517DE">
      <w:pPr>
        <w:autoSpaceDE w:val="0"/>
        <w:autoSpaceDN w:val="0"/>
        <w:spacing w:before="100" w:line="280" w:lineRule="atLeast"/>
        <w:ind w:firstLine="3264" w:firstLineChars="739"/>
        <w:rPr>
          <w:rFonts w:ascii="仿宋" w:hAnsi="仿宋" w:eastAsia="仿宋" w:cs="宋体"/>
          <w:b/>
          <w:color w:val="000000"/>
          <w:sz w:val="44"/>
          <w:szCs w:val="44"/>
        </w:rPr>
      </w:pPr>
      <w:r>
        <w:rPr>
          <w:rFonts w:hint="eastAsia" w:ascii="仿宋" w:hAnsi="仿宋" w:eastAsia="仿宋" w:cs="宋体"/>
          <w:b/>
          <w:color w:val="000000"/>
          <w:sz w:val="44"/>
          <w:szCs w:val="44"/>
        </w:rPr>
        <w:t>采购需求</w:t>
      </w:r>
    </w:p>
    <w:p w14:paraId="110240CC">
      <w:pPr>
        <w:autoSpaceDE w:val="0"/>
        <w:autoSpaceDN w:val="0"/>
        <w:spacing w:before="100" w:line="280" w:lineRule="atLeast"/>
        <w:rPr>
          <w:rFonts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需求</w:t>
      </w:r>
      <w:r>
        <w:rPr>
          <w:rFonts w:hint="eastAsia" w:ascii="仿宋" w:hAnsi="仿宋" w:eastAsia="仿宋" w:cs="宋体"/>
          <w:b/>
          <w:color w:val="000000"/>
          <w:sz w:val="28"/>
          <w:szCs w:val="28"/>
          <w:lang w:val="en-US" w:eastAsia="zh-CN"/>
        </w:rPr>
        <w:t>概述</w:t>
      </w: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：</w:t>
      </w:r>
    </w:p>
    <w:p w14:paraId="24A11A6E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浙江医院两院区绿化面积约42500平方米，其中三墩院区绿化面积约21500平方米，灵隐院区约21000平方米。绿化为院区围墙范围内所有室内外，天井、平台等绿化，若院区因建设等原因绿化面积有增减，均不做调整，具体面积以实际面积为准。现无室内绿植摆放，后续如遇活动等增加绿植，供应商应提供室内绿植盆栽养护服务。</w:t>
      </w:r>
    </w:p>
    <w:p w14:paraId="70EB7AAD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.乔木、灌木、绿地、草花养护和维护；（含修剪、扶正、除草、松土、防病治虫、防寒抗冻、抗旱防涝、灌溉、施肥、绿化带枯枝修剪）；名木、古树、香樟树的病虫害防治；灵隐院区6号楼池塘湖面落叶的清理打捞、水草养护、抽排放水；绿化补植，包括工程损坏补种、草皮灌木稀疏露土处补种和死株补种。（包含地被植物，色块色带，灌木，小乔木，乔木支撑）</w:t>
      </w:r>
    </w:p>
    <w:p w14:paraId="3A13A911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2.自然灾害应急处置、因树木造成的任何损失或赔偿、绿化养护产生的垃圾（包括树枝、树叶）清运等内容。</w:t>
      </w:r>
    </w:p>
    <w:p w14:paraId="59823253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3.两院区室内绿植盆栽及户外花箱养护打理。</w:t>
      </w:r>
    </w:p>
    <w:p w14:paraId="5CA5B6BC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4.自然灾害应急处置。</w:t>
      </w:r>
    </w:p>
    <w:p w14:paraId="2FEF1895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5.两院区门口时花和花箱需应季更换（一年6次）。灵隐院区时花种植有6号楼门口景观石边空地约8平方米，大门口盆摆约6平方米。三墩院区广业街进门口景观池边花带约9平方米，花箱20个约6平方米。具体面积以实际为准。</w:t>
      </w:r>
    </w:p>
    <w:p w14:paraId="5CE6843A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6.三墩院区6号楼周边需要进行乔木、色带、草坪补种。另外还有400㎡左右草坪因老化需要补种优化。</w:t>
      </w:r>
    </w:p>
    <w:p w14:paraId="6AA065C6">
      <w:pPr>
        <w:autoSpaceDE w:val="0"/>
        <w:autoSpaceDN w:val="0"/>
        <w:spacing w:before="20" w:line="240" w:lineRule="auto"/>
        <w:ind w:firstLine="560" w:firstLineChars="200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7.灵隐院区：鉴于灵隐院区大树数量多、树木紧邻建筑物的现状，供应商须对影响建筑安全、过密、过高的枝干，及时安排登高作业车进行修剪作业，全年灵隐院区登高车专项修剪次数不得少于2次。根据以往情况，每年都会有树枝掉落造成人员和财产（汽车）损失，</w:t>
      </w:r>
      <w:r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  <w:t>服务期内如因树枝掉落、树木倾倒造成人员伤亡或财产损失，所有责任及产生的全部费用均由供应商承担，相关成本包含在投标总价内，供应商须足额购买对应额度的公众责任类商业保险，保障风险全覆盖。</w:t>
      </w:r>
    </w:p>
    <w:p w14:paraId="3B47CAF6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8.根据两院区绿化现状，提出专业的养护和优化方案，并积极采取措施，落实整改。</w:t>
      </w:r>
    </w:p>
    <w:p w14:paraId="1F0CDDD2">
      <w:pPr>
        <w:autoSpaceDE w:val="0"/>
        <w:autoSpaceDN w:val="0"/>
        <w:spacing w:before="20" w:line="240" w:lineRule="auto"/>
        <w:rPr>
          <w:rFonts w:hint="default" w:ascii="仿宋" w:hAnsi="仿宋" w:eastAsia="仿宋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sz w:val="28"/>
          <w:szCs w:val="28"/>
          <w:lang w:val="en-US" w:eastAsia="zh-CN"/>
        </w:rPr>
        <w:t>具体要求：</w:t>
      </w:r>
    </w:p>
    <w:p w14:paraId="4EDAD50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绿化养护要求：</w:t>
      </w:r>
    </w:p>
    <w:p w14:paraId="0009B999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（一）绿化养护作业内容：</w:t>
      </w:r>
    </w:p>
    <w:p w14:paraId="67B1912B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1、乔木（合同期内增加种植的所有乔木）、灌木、草地、苗圃、草花养护和维护；</w:t>
      </w:r>
    </w:p>
    <w:p w14:paraId="1E2CCF7D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2、绿地的清洁卫生、垃圾收集和清运.</w:t>
      </w:r>
    </w:p>
    <w:p w14:paraId="57D6EC3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3、绿地绿化喷灌系统、护栏、花基等设施维护。</w:t>
      </w:r>
    </w:p>
    <w:p w14:paraId="14263507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4、发生不可抗拒的自然灾害，供应商应采取有效措施防抗，灾后及时恢复受损绿化。</w:t>
      </w:r>
    </w:p>
    <w:p w14:paraId="41E5FAEE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 xml:space="preserve">（二）绿化养护的具体要求： </w:t>
      </w:r>
    </w:p>
    <w:p w14:paraId="4CFCEC05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1、生长势</w:t>
      </w:r>
    </w:p>
    <w:p w14:paraId="152B279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（1）草坪绿化覆盖率达98%以上。草坪内杂草控制在5％以内且无10cm以上杂草、无积水，生长茂盛颜色正常；</w:t>
      </w:r>
    </w:p>
    <w:p w14:paraId="4522AF2B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（2）灌木和草花长势良好，枝叶健壮，枝多叶茂，叶色鲜艳，无枯枝残叶；草花由中标方提供，一年更换不少于6次，保证常年开花植物一年四季鲜花盛开；花坛轮廓清晰，无残缺，绿篱无断层。</w:t>
      </w:r>
    </w:p>
    <w:p w14:paraId="79B59C0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（3）乔木生长旺盛，枝叶健壮，枝条粗壮，叶色浓绿，无枯枝残叶。</w:t>
      </w:r>
    </w:p>
    <w:p w14:paraId="5D62BB1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2、修剪</w:t>
      </w:r>
    </w:p>
    <w:p w14:paraId="7FD4C2E5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草坪、灌木、乔木修剪作业按操作规程进行，适时得当，符合植物生长特性；使草坪的高度一致，边缘整齐。灌木既整齐美观又能适时开花、色艳；绿篱和花坛整形效果要与周边环境协调，增强园林美化效果。乔木无枯枝悬挂，花繁叶茂。银杏行道树通过修剪控制高度的同时控制花果数量。</w:t>
      </w:r>
    </w:p>
    <w:p w14:paraId="1A5C360C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3、施肥</w:t>
      </w:r>
    </w:p>
    <w:p w14:paraId="624747D6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草坪每年适当进行根外追肥3次，每次修剪后即进行额外追肥1次，秋季结合草坪打孔施用1次有机肥，使草坪保持良好的长势。灌木、乔木结合除草松土重点施肥，保证每两个月追肥1次，施肥量根据树木的种类和生长情况而定。</w:t>
      </w:r>
    </w:p>
    <w:p w14:paraId="0C680CBE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4、除杂草、松土及时清除杂草、松土，方法合理彻底。按照以下标准除草，不论次数。</w:t>
      </w:r>
    </w:p>
    <w:p w14:paraId="0CDD027F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（1）草坪纯度标准为每平方米不超过10株非目的草种。</w:t>
      </w:r>
    </w:p>
    <w:p w14:paraId="07A2E56F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2）灌木花卉乔木植穴为直径80厘米圆，植穴表土深度不少于5厘米的表土疏松、平整，并低于周围表土。除杂松土时要保护根系，不能伤根及造成根系裸露，更不能造成黄土裸露。要求养护单位每两个月松土1次。</w:t>
      </w:r>
    </w:p>
    <w:p w14:paraId="05AA8287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5、填平坑洼、疏通积水</w:t>
      </w:r>
    </w:p>
    <w:p w14:paraId="2F3BC51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要求及时填平坑洼地，使草坪内无坑洼积水，平整雅观。</w:t>
      </w:r>
    </w:p>
    <w:p w14:paraId="4CDC61A4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6、补植、改植</w:t>
      </w:r>
    </w:p>
    <w:p w14:paraId="4EC83398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（1）对被破坏或其他原因引起死亡的草坪植物应及时补植。补植要补与原坪相同的草种，保证一个月内覆盖率达98%。</w:t>
      </w:r>
    </w:p>
    <w:p w14:paraId="600D07D7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2）及时清理死树，要求在两周内补回原来的树种并力求规格与原来树木接近，以保证成活率和优良的景观效果。对已老化或明显与周围环境不协调的灌木花卉、乔木应及时进行改植，改植品种要事先征得绿化主管部门的批准。</w:t>
      </w:r>
    </w:p>
    <w:p w14:paraId="7F4FCBA3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7、名木、古桩香樟树的防护治疗</w:t>
      </w:r>
    </w:p>
    <w:p w14:paraId="5EA62E42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定期对名木、古桩香樟树周围的土壤保护与改良，适时进行施肥。保证名木、古桩香樟树的灌溉与排水，防止积水烂根。加强对有害生物的控制，提高日常监测频率，有问题及时上报技术人员。生长期及时修剪过多的萌蘖枝、过密枝、过长枝。对名木、古桩香樟树腐烂部位进行清除，清除后裸露部分进行消毒剂消毒，处理干净后对伤口进行固化。对树体明显侵斜或者易倒伏的进行支撑加固。 </w:t>
      </w:r>
    </w:p>
    <w:p w14:paraId="43B66C2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8、病虫害的防治</w:t>
      </w:r>
    </w:p>
    <w:p w14:paraId="0C1536F1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要求及时做好病虫害的防治工作，发生病虫为害时，最严重的危害率在5%以下，如病虫害危及率超过5%的，养护单位要立即采取有效的防治措施，除虫不论次数。绿地不得发现蚁穴。</w:t>
      </w:r>
    </w:p>
    <w:p w14:paraId="5A917904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9、防台防汛、抗旱防冻及意外</w:t>
      </w:r>
    </w:p>
    <w:p w14:paraId="00ACA9C6">
      <w:pPr>
        <w:autoSpaceDE w:val="0"/>
        <w:autoSpaceDN w:val="0"/>
        <w:spacing w:before="20" w:line="240" w:lineRule="auto"/>
        <w:ind w:firstLine="560" w:firstLineChars="200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1）防台防汛，养护单位包工、包材料（防台防汛、抗旱防冻各类物资），在台风来临前加固防御，合理修剪，凡是冠幅大于2米的都需要加固护树设施，以增强抵御台风的能力。台风后及时进行扶树、护树、补好残缺，处理断枝、落叶和垃圾，使绿化景观尽快恢复。同时要求随着树木的长大，及时将护树带或铁箍放松，以免嵌入树皮内。台风预警响应期间，树木支撑加固专项要求:</w:t>
      </w:r>
    </w:p>
    <w:p w14:paraId="53D73F7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1&gt;. 支撑管材规格标准</w:t>
      </w:r>
    </w:p>
    <w:p w14:paraId="34CA1BB7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全院高大乔木加固支撑所用钢管，须采用热镀锌加厚圆管，管材标准不低于1½寸（DN40）规格6米镀锌钢管标准；管材管身印有原厂标识，整体热镀锌防腐处理，管材壁厚、外径、镀锌层厚度均不得低于该款1.5寸国标镀锌管参数，严禁使用薄壁、非标、锈蚀、无镀锌劣质管材，不达标一律退场更换。管壁外侧贴醒目的反光膜。</w:t>
      </w:r>
    </w:p>
    <w:p w14:paraId="57BA6E2C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. 支撑设置数量要求：养护范围内所有高大乔木，需完成加固支撑的树木总量不少于院内高大乔木总数的1/3；优先对临道路、建筑、地下车库出入口、人流密集区域、根系松动、树冠偏大、存在倒伏风险的乔木设置三角/四角钢管支撑，台风、汛期前完成全面排查增补。</w:t>
      </w:r>
    </w:p>
    <w:p w14:paraId="4D24F78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 xml:space="preserve"> 施工工艺配套要求：</w:t>
      </w:r>
    </w:p>
    <w:p w14:paraId="1914978A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钢管支撑安装牢固，树干接触位置加装橡胶软垫防树皮磨损，支撑杆件排布整齐美观，定期检修紧固；台风预警响应期间，增加支撑巡检频次，松动、变形、锈蚀钢管及时更换，保障院区树木安全。</w:t>
      </w:r>
    </w:p>
    <w:p w14:paraId="560EF439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</w:p>
    <w:p w14:paraId="11A6F071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（2） 抗旱防冻，养护单位加强绿地巡查力度，对耐旱性较差的植物应采取必要的措施进行遮阴、修剪、抹芽和浇水，选择合理的时间段给苗木进行浇灌。在冬季对树干进行涂白防冻，对不耐寒苗木搭建防风障和防寒棚。</w:t>
      </w:r>
    </w:p>
    <w:p w14:paraId="3AF99CAA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（3）遇雷电风雨、人畜危害而使树木歪斜或倒枝断枝，要立即处理、疏通道路。</w:t>
      </w:r>
    </w:p>
    <w:p w14:paraId="1837E0A9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10、绿地卫生</w:t>
      </w:r>
    </w:p>
    <w:p w14:paraId="1B7A2DC4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（1）清洁、保洁</w:t>
      </w:r>
    </w:p>
    <w:p w14:paraId="5E37519D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要求每天8：00-17：00保持绿地无垃圾杂物，包括生活垃圾、石砾砖块、干枯枝叶、粪便，无鼠洞和蚊蝇滋生地等，发现鼠洞要随时堵塞。清除垃圾杂物后要注意保洁，绿地一有垃圾，要及时捡拾干净。</w:t>
      </w:r>
    </w:p>
    <w:p w14:paraId="08461AED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（2）清运</w:t>
      </w:r>
    </w:p>
    <w:p w14:paraId="75A05801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要求归集后的绿化垃圾、杂物在指定的地方堆放整齐，视垃圾存放情况及时处理，随产随清，不准焚烧，将其运出自行处理，运输及处理费用由供应商承担。</w:t>
      </w:r>
    </w:p>
    <w:p w14:paraId="4D13A219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11、灵隐院区6号楼池塘</w:t>
      </w:r>
    </w:p>
    <w:p w14:paraId="0FDCFB0F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湖面落叶的清理打捞</w:t>
      </w:r>
    </w:p>
    <w:p w14:paraId="020F7CE7">
      <w:pPr>
        <w:autoSpaceDE w:val="0"/>
        <w:autoSpaceDN w:val="0"/>
        <w:spacing w:before="20" w:line="240" w:lineRule="auto"/>
        <w:ind w:firstLine="560" w:firstLineChars="200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12、树枝修剪</w:t>
      </w:r>
    </w:p>
    <w:p w14:paraId="7ADBFFD5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（1）平时需加强安全巡查，发现枯枝、病枝及时进行修剪、消除安全隐患。</w:t>
      </w:r>
    </w:p>
    <w:p w14:paraId="46423D6C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2）对建筑物有影响及过密、过高的枝干须及时安排登高作业车进行修剪。其中灵隐院区每年应不少于2次登高作业车修剪。因树枝掉落、树木倾倒造成的人员伤亡和财产损失由供应商承担，建议供应商购买相应的保险。</w:t>
      </w:r>
    </w:p>
    <w:p w14:paraId="70690EBF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（三）绿化养护管理标准要求：必须达到以下养护质量标准。</w:t>
      </w:r>
    </w:p>
    <w:p w14:paraId="642160C5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1、根据植物生态习性，合理修剪，留枝均匀，疏密合理，剪口平滑，保持树形整齐美观，枝繁叶茂。  </w:t>
      </w:r>
    </w:p>
    <w:p w14:paraId="335CEE6E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2、绿篱生长旺盛、修剪整齐、合理、无死株、缺档。  </w:t>
      </w:r>
    </w:p>
    <w:p w14:paraId="3EA2BE8A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3、草坪生长繁茂、平整、无杂草，高度控制在10厘米左右，无裸露地面，无成片枯黄。枯黄面不得超过总面积的1%。</w:t>
      </w:r>
    </w:p>
    <w:p w14:paraId="1FF8030C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4、花坛（台）、草坪等绿地内保持无杂草生长，无杂藤攀援树木，无污物、垃圾等。  </w:t>
      </w:r>
    </w:p>
    <w:p w14:paraId="3027AD0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5、树木花草基本无病虫危害症状，病虫害危害率控制在5%以下，无药害现象。  </w:t>
      </w:r>
    </w:p>
    <w:p w14:paraId="02FC161B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6、无人为损害花草树木。  </w:t>
      </w:r>
    </w:p>
    <w:p w14:paraId="0B58309E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7、基本无枯枝、死树。  </w:t>
      </w:r>
    </w:p>
    <w:p w14:paraId="4F6FF54D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8、古树名木挂牌、建档管理，有保护复壮措施。 </w:t>
      </w:r>
    </w:p>
    <w:p w14:paraId="2AF6961F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9、花坛图案、造型新颖，花大叶肥，色彩协调，观赏整体效果明显，保持三季有花。  </w:t>
      </w:r>
    </w:p>
    <w:p w14:paraId="4EBFC85F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10、当年植树成活率达95%以上，次年后保存率达90%以上；老树保存率达99.5%以上。  </w:t>
      </w:r>
    </w:p>
    <w:p w14:paraId="4DC72191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11、园林设施完好无损。</w:t>
      </w:r>
    </w:p>
    <w:p w14:paraId="77BD7EF8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（四）室内盆栽养护要求：</w:t>
      </w:r>
    </w:p>
    <w:p w14:paraId="22AE394D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1、供应商应负责室内盆栽施肥、浇水等日常工作，确保盆栽鲜活嫩绿，长势旺盛；养护花草时，保持路面清洁，浇花时留下的水迹和污垢及时清除。</w:t>
      </w:r>
    </w:p>
    <w:p w14:paraId="64E0611C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2、供应商应适期适量进行叶面的净化，经常保持花木叶面的鲜亮，同时保持花盆和托底的整洁。</w:t>
      </w:r>
    </w:p>
    <w:p w14:paraId="0B0C69D4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3、供应商应对室内植物病虫害进行安全防治，并保障植物营养。</w:t>
      </w:r>
    </w:p>
    <w:p w14:paraId="42A4CF06">
      <w:pPr>
        <w:autoSpaceDE w:val="0"/>
        <w:autoSpaceDN w:val="0"/>
        <w:spacing w:before="20" w:line="240" w:lineRule="auto"/>
        <w:ind w:firstLine="560" w:firstLineChars="200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4、供应商应提供相应室内养护工具，耗材等保障正常养护工作。</w:t>
      </w:r>
    </w:p>
    <w:p w14:paraId="0F746732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5、供应商进出采购人区域进行养护时，必须遵守采购人的有关规章制度，如有违约，按采购人有关规定处理；</w:t>
      </w:r>
    </w:p>
    <w:p w14:paraId="39573C99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6、供应商养护工应配备联系电话，遇采购人有重大活动或临时开会，需调整摆放或增加花木时，应随叫随到，配合采购人随时摆放；</w:t>
      </w:r>
    </w:p>
    <w:p w14:paraId="7CFEF6C8">
      <w:pPr>
        <w:autoSpaceDE w:val="0"/>
        <w:autoSpaceDN w:val="0"/>
        <w:spacing w:before="20" w:line="240" w:lineRule="auto"/>
        <w:ind w:firstLine="560" w:firstLineChars="200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7、供应商保证盆栽在正常维护保养的情况下，具有使采购人满意的使用寿命，避免出现批量枯死的情况。</w:t>
      </w:r>
    </w:p>
    <w:p w14:paraId="0632B97E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（五）其他要求：</w:t>
      </w:r>
    </w:p>
    <w:p w14:paraId="42BDF160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1、供应商应投入使用的机械设备满足养护项目实际规模，各类养护机械设备数量比例适当，机械设备的维修有保障，实行专人化和定期维护。在服务期内最少配备以下车辆和设备：农药喷洒机、绿篱机、剪草机、打孔机、梳草机等。</w:t>
      </w:r>
    </w:p>
    <w:p w14:paraId="61631764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2、</w:t>
      </w:r>
      <w:bookmarkStart w:id="0" w:name="_GoBack"/>
      <w:bookmarkEnd w:id="0"/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服务团队应由不少于6人的专职人员组成，要求体貌端正，年龄和体质适合本项目用工要求，身体健康，按规定缴纳社保，无不良嗜好，其中项目经理应具有园林绿化专业中级（含）以上技术职称，每天两院区巡查并安排驻点人员工作；遇有紧急情况，团队应及时响应（工作日上班时间随叫随到，下班时间和节假日1小时响应）。要求供应商承诺派出的服务团队成员到岗率达100%，并接受采购人的考核。团队配置满足养护项目实际规模，岗位设定合理。拟派团队人员的名单均应在投标时提供。中标后，未经采购人同意，不得随意更换。</w:t>
      </w:r>
    </w:p>
    <w:p w14:paraId="45B719D6">
      <w:pPr>
        <w:autoSpaceDE w:val="0"/>
        <w:autoSpaceDN w:val="0"/>
        <w:spacing w:before="20" w:line="240" w:lineRule="auto"/>
        <w:ind w:firstLine="560" w:firstLineChars="200"/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>驻点岗位列表</w:t>
      </w:r>
    </w:p>
    <w:tbl>
      <w:tblPr>
        <w:tblStyle w:val="6"/>
        <w:tblpPr w:leftFromText="180" w:rightFromText="180" w:vertAnchor="text" w:horzAnchor="page" w:tblpX="2386" w:tblpY="194"/>
        <w:tblOverlap w:val="never"/>
        <w:tblW w:w="7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2460"/>
        <w:gridCol w:w="1515"/>
        <w:gridCol w:w="2595"/>
      </w:tblGrid>
      <w:tr w14:paraId="199EC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70" w:type="dxa"/>
            <w:noWrap/>
            <w:vAlign w:val="center"/>
          </w:tcPr>
          <w:p w14:paraId="4FB93D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460" w:type="dxa"/>
            <w:noWrap/>
            <w:vAlign w:val="center"/>
          </w:tcPr>
          <w:p w14:paraId="468CB4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1515" w:type="dxa"/>
            <w:noWrap/>
            <w:vAlign w:val="center"/>
          </w:tcPr>
          <w:p w14:paraId="05E91B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2595" w:type="dxa"/>
            <w:noWrap/>
            <w:vAlign w:val="center"/>
          </w:tcPr>
          <w:p w14:paraId="1B8BC44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AC32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70" w:type="dxa"/>
            <w:noWrap/>
            <w:vAlign w:val="center"/>
          </w:tcPr>
          <w:p w14:paraId="275D5B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60" w:type="dxa"/>
            <w:noWrap/>
            <w:vAlign w:val="center"/>
          </w:tcPr>
          <w:p w14:paraId="760285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项目经理</w:t>
            </w:r>
          </w:p>
        </w:tc>
        <w:tc>
          <w:tcPr>
            <w:tcW w:w="1515" w:type="dxa"/>
            <w:noWrap/>
            <w:vAlign w:val="center"/>
          </w:tcPr>
          <w:p w14:paraId="090B24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2595" w:type="dxa"/>
            <w:noWrap/>
            <w:vAlign w:val="center"/>
          </w:tcPr>
          <w:p w14:paraId="5449D4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有绿化从业资格证书</w:t>
            </w:r>
          </w:p>
        </w:tc>
      </w:tr>
      <w:tr w14:paraId="4DD1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70" w:type="dxa"/>
            <w:noWrap/>
            <w:vAlign w:val="center"/>
          </w:tcPr>
          <w:p w14:paraId="6ED217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60" w:type="dxa"/>
            <w:noWrap/>
            <w:vAlign w:val="center"/>
          </w:tcPr>
          <w:p w14:paraId="295FFF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驻点人员（灵隐院区）</w:t>
            </w:r>
          </w:p>
        </w:tc>
        <w:tc>
          <w:tcPr>
            <w:tcW w:w="1515" w:type="dxa"/>
            <w:noWrap/>
            <w:vAlign w:val="center"/>
          </w:tcPr>
          <w:p w14:paraId="4F9D6D3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不少于3人</w:t>
            </w:r>
          </w:p>
        </w:tc>
        <w:tc>
          <w:tcPr>
            <w:tcW w:w="2595" w:type="dxa"/>
            <w:noWrap/>
            <w:vAlign w:val="center"/>
          </w:tcPr>
          <w:p w14:paraId="34CFEA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7B8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70" w:type="dxa"/>
            <w:noWrap/>
            <w:vAlign w:val="center"/>
          </w:tcPr>
          <w:p w14:paraId="643D84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60" w:type="dxa"/>
            <w:noWrap/>
            <w:vAlign w:val="center"/>
          </w:tcPr>
          <w:p w14:paraId="258A7E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驻点人员（三墩院区）</w:t>
            </w:r>
          </w:p>
        </w:tc>
        <w:tc>
          <w:tcPr>
            <w:tcW w:w="1515" w:type="dxa"/>
            <w:noWrap/>
            <w:vAlign w:val="center"/>
          </w:tcPr>
          <w:p w14:paraId="64E633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不少于2人</w:t>
            </w:r>
          </w:p>
        </w:tc>
        <w:tc>
          <w:tcPr>
            <w:tcW w:w="2595" w:type="dxa"/>
            <w:noWrap/>
            <w:vAlign w:val="center"/>
          </w:tcPr>
          <w:p w14:paraId="429575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E7D0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70" w:type="dxa"/>
            <w:noWrap/>
            <w:vAlign w:val="center"/>
          </w:tcPr>
          <w:p w14:paraId="3F3C0C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60" w:type="dxa"/>
            <w:noWrap/>
            <w:vAlign w:val="center"/>
          </w:tcPr>
          <w:p w14:paraId="78579F2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515" w:type="dxa"/>
            <w:noWrap/>
            <w:vAlign w:val="center"/>
          </w:tcPr>
          <w:p w14:paraId="07A3FF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595" w:type="dxa"/>
            <w:noWrap/>
            <w:vAlign w:val="center"/>
          </w:tcPr>
          <w:p w14:paraId="3E8645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08EAB32B">
      <w:pPr>
        <w:pStyle w:val="2"/>
        <w:rPr>
          <w:rFonts w:hint="eastAsia"/>
          <w:lang w:val="en-US" w:eastAsia="zh-CN"/>
        </w:rPr>
      </w:pPr>
    </w:p>
    <w:p w14:paraId="1C16132E">
      <w:pPr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ascii="仿宋" w:hAnsi="仿宋" w:eastAsia="仿宋" w:cs="宋体"/>
          <w:color w:val="000000"/>
          <w:sz w:val="28"/>
          <w:szCs w:val="28"/>
        </w:rPr>
        <w:br w:type="page"/>
      </w:r>
    </w:p>
    <w:p w14:paraId="3C3C148A">
      <w:pPr>
        <w:shd w:val="clear" w:color="auto" w:fill="auto"/>
        <w:snapToGrid w:val="0"/>
        <w:spacing w:line="300" w:lineRule="auto"/>
        <w:jc w:val="center"/>
        <w:rPr>
          <w:b/>
          <w:bCs/>
          <w:sz w:val="32"/>
          <w:szCs w:val="32"/>
          <w:highlight w:val="none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报价</w:t>
      </w:r>
      <w:r>
        <w:rPr>
          <w:b/>
          <w:bCs/>
          <w:sz w:val="32"/>
          <w:szCs w:val="32"/>
          <w:highlight w:val="none"/>
        </w:rPr>
        <w:t>明细表</w:t>
      </w:r>
    </w:p>
    <w:p w14:paraId="1D1E1FCB">
      <w:pPr>
        <w:shd w:val="clear" w:color="auto" w:fill="auto"/>
        <w:snapToGrid w:val="0"/>
        <w:spacing w:line="300" w:lineRule="auto"/>
        <w:rPr>
          <w:highlight w:val="none"/>
          <w:u w:val="single"/>
        </w:rPr>
      </w:pPr>
      <w:r>
        <w:rPr>
          <w:highlight w:val="none"/>
        </w:rPr>
        <w:t>项目名称：</w:t>
      </w:r>
    </w:p>
    <w:p w14:paraId="6CDB0FA7">
      <w:pPr>
        <w:shd w:val="clear" w:color="auto" w:fill="auto"/>
        <w:snapToGrid w:val="0"/>
        <w:spacing w:line="300" w:lineRule="auto"/>
        <w:rPr>
          <w:highlight w:val="none"/>
        </w:rPr>
      </w:pPr>
      <w:r>
        <w:rPr>
          <w:highlight w:val="none"/>
        </w:rPr>
        <w:t>标项内容：</w:t>
      </w:r>
    </w:p>
    <w:p w14:paraId="6D0EE898">
      <w:pPr>
        <w:shd w:val="clear" w:color="auto" w:fill="auto"/>
        <w:snapToGrid w:val="0"/>
        <w:spacing w:line="300" w:lineRule="auto"/>
        <w:rPr>
          <w:highlight w:val="none"/>
        </w:rPr>
      </w:pPr>
      <w:r>
        <w:rPr>
          <w:highlight w:val="none"/>
        </w:rPr>
        <w:t>价格单位：元人民币</w:t>
      </w:r>
    </w:p>
    <w:tbl>
      <w:tblPr>
        <w:tblStyle w:val="6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603"/>
        <w:gridCol w:w="1275"/>
        <w:gridCol w:w="720"/>
        <w:gridCol w:w="720"/>
        <w:gridCol w:w="1538"/>
        <w:gridCol w:w="937"/>
        <w:gridCol w:w="976"/>
        <w:gridCol w:w="816"/>
      </w:tblGrid>
      <w:tr w14:paraId="0CA4AC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240B85F7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序号</w:t>
            </w:r>
          </w:p>
        </w:tc>
        <w:tc>
          <w:tcPr>
            <w:tcW w:w="1603" w:type="dxa"/>
            <w:noWrap w:val="0"/>
            <w:vAlign w:val="center"/>
          </w:tcPr>
          <w:p w14:paraId="29E69C42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名称</w:t>
            </w:r>
          </w:p>
        </w:tc>
        <w:tc>
          <w:tcPr>
            <w:tcW w:w="1275" w:type="dxa"/>
            <w:noWrap w:val="0"/>
            <w:vAlign w:val="center"/>
          </w:tcPr>
          <w:p w14:paraId="397C9C7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规格型号</w:t>
            </w:r>
          </w:p>
        </w:tc>
        <w:tc>
          <w:tcPr>
            <w:tcW w:w="720" w:type="dxa"/>
            <w:noWrap w:val="0"/>
            <w:vAlign w:val="center"/>
          </w:tcPr>
          <w:p w14:paraId="1EFD0881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数量</w:t>
            </w:r>
          </w:p>
        </w:tc>
        <w:tc>
          <w:tcPr>
            <w:tcW w:w="720" w:type="dxa"/>
            <w:noWrap w:val="0"/>
            <w:vAlign w:val="center"/>
          </w:tcPr>
          <w:p w14:paraId="69968699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单位</w:t>
            </w:r>
          </w:p>
        </w:tc>
        <w:tc>
          <w:tcPr>
            <w:tcW w:w="1538" w:type="dxa"/>
            <w:noWrap w:val="0"/>
            <w:vAlign w:val="center"/>
          </w:tcPr>
          <w:p w14:paraId="0F51529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制造商/产地/品牌</w:t>
            </w:r>
          </w:p>
        </w:tc>
        <w:tc>
          <w:tcPr>
            <w:tcW w:w="937" w:type="dxa"/>
            <w:noWrap w:val="0"/>
            <w:vAlign w:val="center"/>
          </w:tcPr>
          <w:p w14:paraId="57DB8878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单价</w:t>
            </w:r>
          </w:p>
        </w:tc>
        <w:tc>
          <w:tcPr>
            <w:tcW w:w="976" w:type="dxa"/>
            <w:noWrap w:val="0"/>
            <w:vAlign w:val="center"/>
          </w:tcPr>
          <w:p w14:paraId="0DB9CB2A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合价</w:t>
            </w:r>
          </w:p>
        </w:tc>
        <w:tc>
          <w:tcPr>
            <w:tcW w:w="816" w:type="dxa"/>
            <w:noWrap w:val="0"/>
            <w:vAlign w:val="center"/>
          </w:tcPr>
          <w:p w14:paraId="7ADB5117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备注</w:t>
            </w:r>
          </w:p>
        </w:tc>
      </w:tr>
      <w:tr w14:paraId="3EC535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1998FAE9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1</w:t>
            </w:r>
          </w:p>
        </w:tc>
        <w:tc>
          <w:tcPr>
            <w:tcW w:w="1603" w:type="dxa"/>
            <w:noWrap w:val="0"/>
            <w:vAlign w:val="center"/>
          </w:tcPr>
          <w:p w14:paraId="12F2CF1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96F59D6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2007E96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AA52806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8D042D4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8C51892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062F05C1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100B5C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3DBFE4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0BB296F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2</w:t>
            </w:r>
          </w:p>
        </w:tc>
        <w:tc>
          <w:tcPr>
            <w:tcW w:w="1603" w:type="dxa"/>
            <w:noWrap w:val="0"/>
            <w:vAlign w:val="center"/>
          </w:tcPr>
          <w:p w14:paraId="7B7DBC3C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7071908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D25F055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B2E6497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91F2798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187B070C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59D30C02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1514716C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31FF9E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6A7290B7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3</w:t>
            </w:r>
          </w:p>
        </w:tc>
        <w:tc>
          <w:tcPr>
            <w:tcW w:w="1603" w:type="dxa"/>
            <w:noWrap w:val="0"/>
            <w:vAlign w:val="center"/>
          </w:tcPr>
          <w:p w14:paraId="56DC7FD6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8436F24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73DA71C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721A96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E4B0942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6B87041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7020FB29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33DBF660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79D84D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2908BA4C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499F0C55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F201A2F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4F94B6A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5ECE35F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9C0F834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B6984B1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72366A22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5611850E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04D963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11342030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585" w:type="dxa"/>
            <w:gridSpan w:val="8"/>
            <w:noWrap w:val="0"/>
            <w:vAlign w:val="center"/>
          </w:tcPr>
          <w:p w14:paraId="16F80178">
            <w:pPr>
              <w:pStyle w:val="4"/>
              <w:shd w:val="clear" w:color="auto" w:fill="auto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总价：</w:t>
            </w:r>
          </w:p>
        </w:tc>
      </w:tr>
    </w:tbl>
    <w:p w14:paraId="76B8F3C5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</w:p>
    <w:p w14:paraId="6F465884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报价说明：</w:t>
      </w:r>
    </w:p>
    <w:p w14:paraId="32B365A5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1）本项目价格包括设备费及相关服务费。</w:t>
      </w:r>
    </w:p>
    <w:p w14:paraId="148A62C1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2）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设备费包括设备本体、随机配送（备品备件、另配件、专用工具）的所有费用。</w:t>
      </w:r>
    </w:p>
    <w:p w14:paraId="4A83B686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3）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相关服务费包括运杂费、保险费、到货验收、保管、安装、调试、试运行、检验、验收合格、交付使用、保修期内的售后服务及采购文件规定的其他费用等所涉及全部费用。</w:t>
      </w:r>
    </w:p>
    <w:p w14:paraId="6493BA53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4）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本项目为交钥匙项目，除甲方提供合同约定的配合内容外，其他均由乙方完成。所产生费用均应在上表中体现合计费用结转至开标一览表。</w:t>
      </w:r>
    </w:p>
    <w:p w14:paraId="1BE79FDF">
      <w:pPr>
        <w:pStyle w:val="4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5）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表格可扩展。</w:t>
      </w:r>
    </w:p>
    <w:p w14:paraId="5C0E4BE9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0820725B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投标人全称（盖单位公章）：</w:t>
      </w:r>
    </w:p>
    <w:p w14:paraId="25B29E78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4AB0AE5D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法定代表人或授权委托人（签字或盖章）：</w:t>
      </w:r>
    </w:p>
    <w:p w14:paraId="3F6E128A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0D9F8BF9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 xml:space="preserve">日期：  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年  月  日</w:t>
      </w:r>
    </w:p>
    <w:p w14:paraId="7C862C38">
      <w:pPr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440181D">
      <w:pPr>
        <w:autoSpaceDE w:val="0"/>
        <w:autoSpaceDN w:val="0"/>
        <w:spacing w:before="20" w:line="373" w:lineRule="atLeast"/>
        <w:rPr>
          <w:rFonts w:ascii="仿宋" w:hAnsi="仿宋" w:eastAsia="仿宋" w:cs="宋体"/>
          <w:color w:val="000000"/>
          <w:sz w:val="28"/>
          <w:szCs w:val="28"/>
        </w:rPr>
      </w:pPr>
    </w:p>
    <w:p w14:paraId="30B24ADA">
      <w:pPr>
        <w:autoSpaceDE w:val="0"/>
        <w:autoSpaceDN w:val="0"/>
        <w:spacing w:before="20" w:line="373" w:lineRule="atLeas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C7"/>
    <w:rsid w:val="002E18DF"/>
    <w:rsid w:val="004A3140"/>
    <w:rsid w:val="00964C8E"/>
    <w:rsid w:val="00C328C7"/>
    <w:rsid w:val="59E53650"/>
    <w:rsid w:val="6DC0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2">
    <w:name w:val="heading 3"/>
    <w:basedOn w:val="1"/>
    <w:next w:val="1"/>
    <w:qFormat/>
    <w:uiPriority w:val="9"/>
    <w:pPr>
      <w:widowControl/>
      <w:autoSpaceDE w:val="0"/>
      <w:autoSpaceDN w:val="0"/>
      <w:snapToGrid w:val="0"/>
      <w:spacing w:line="300" w:lineRule="auto"/>
      <w:ind w:firstLine="200" w:firstLineChars="200"/>
      <w:outlineLvl w:val="2"/>
    </w:pPr>
    <w:rPr>
      <w:rFonts w:ascii="Arial" w:hAnsi="Arial"/>
      <w:b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815</Words>
  <Characters>855</Characters>
  <Lines>4</Lines>
  <Paragraphs>1</Paragraphs>
  <TotalTime>0</TotalTime>
  <ScaleCrop>false</ScaleCrop>
  <LinksUpToDate>false</LinksUpToDate>
  <CharactersWithSpaces>871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2024-08-06T08:33:00Z</dcterms:created>
  <dc:creator>11</dc:creator>
  <cp:lastModifiedBy>skyhorse912163com</cp:lastModifiedBy>
  <dcterms:modified xsi:type="dcterms:W3CDTF">2026-08-18T06:09:32Z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eyJoZGlkIjoiNWUyY2Q5M2I0NWFjZDAwOTJkYjgyYmI3ODUxZjA2YWYiLCJ1c2VySWQiOiIyNzg0NzU5In0=</vt:lpwstr>
  </property>
  <property fmtid="{D5CDD505-2E9C-101B-9397-08002B2CF9AE}" pid="3" name="KSOProductBuildVer">
    <vt:lpwstr>2052-12.1.0.28043</vt:lpwstr>
  </property>
  <property fmtid="{D5CDD505-2E9C-101B-9397-08002B2CF9AE}" pid="4" name="ICV">
    <vt:lpwstr>EEC79158B94D48CDBAAE126E692F43D8_13</vt:lpwstr>
  </property>
</Properties>
</file>