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jc w:val="left"/>
        <w:rPr>
          <w:rFonts w:ascii="黑体" w:hAnsi="黑体" w:eastAsia="黑体"/>
          <w:sz w:val="32"/>
          <w:szCs w:val="32"/>
        </w:rPr>
      </w:pPr>
      <w:r>
        <w:rPr>
          <w:rFonts w:hint="eastAsia" w:ascii="黑体" w:hAnsi="黑体" w:eastAsia="黑体"/>
          <w:sz w:val="32"/>
          <w:szCs w:val="32"/>
        </w:rPr>
        <w:t>项目名称：医用耗材一批</w:t>
      </w:r>
      <w:r>
        <w:rPr>
          <w:rFonts w:ascii="黑体" w:hAnsi="黑体" w:eastAsia="黑体"/>
          <w:sz w:val="32"/>
          <w:szCs w:val="32"/>
        </w:rPr>
        <w:t>（重新招标）</w:t>
      </w:r>
    </w:p>
    <w:p>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3011</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023年10</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ZJYYHCZB-2023011</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2"/>
        <w:gridCol w:w="2832"/>
        <w:gridCol w:w="4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32" w:type="dxa"/>
            <w:vAlign w:val="center"/>
          </w:tcPr>
          <w:p>
            <w:pPr>
              <w:spacing w:line="360" w:lineRule="auto"/>
              <w:rPr>
                <w:rFonts w:ascii="宋体" w:hAnsi="宋体"/>
                <w:color w:val="000000" w:themeColor="text1"/>
                <w:kern w:val="0"/>
                <w:sz w:val="24"/>
                <w:szCs w:val="20"/>
                <w14:textFill>
                  <w14:solidFill>
                    <w14:schemeClr w14:val="tx1"/>
                  </w14:solidFill>
                </w14:textFill>
              </w:rPr>
            </w:pPr>
            <w:r>
              <w:rPr>
                <w:rFonts w:hint="eastAsia" w:ascii="宋体" w:hAnsi="宋体"/>
                <w:color w:val="000000" w:themeColor="text1"/>
                <w:kern w:val="0"/>
                <w:sz w:val="24"/>
                <w:szCs w:val="20"/>
                <w14:textFill>
                  <w14:solidFill>
                    <w14:schemeClr w14:val="tx1"/>
                  </w14:solidFill>
                </w14:textFill>
              </w:rPr>
              <w:t>标项号</w:t>
            </w:r>
          </w:p>
        </w:tc>
        <w:tc>
          <w:tcPr>
            <w:tcW w:w="2832" w:type="dxa"/>
            <w:vAlign w:val="center"/>
          </w:tcPr>
          <w:p>
            <w:pPr>
              <w:spacing w:line="360" w:lineRule="auto"/>
              <w:rPr>
                <w:rFonts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产品名称</w:t>
            </w:r>
          </w:p>
        </w:tc>
        <w:tc>
          <w:tcPr>
            <w:tcW w:w="4213" w:type="dxa"/>
            <w:vAlign w:val="center"/>
          </w:tcPr>
          <w:p>
            <w:pPr>
              <w:spacing w:line="360" w:lineRule="auto"/>
              <w:rPr>
                <w:rFonts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1232" w:type="dxa"/>
            <w:vAlign w:val="center"/>
          </w:tcPr>
          <w:p>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p>
        </w:tc>
        <w:tc>
          <w:tcPr>
            <w:tcW w:w="2832" w:type="dxa"/>
            <w:vAlign w:val="center"/>
          </w:tcPr>
          <w:p>
            <w:pPr>
              <w:widowControl/>
              <w:spacing w:line="276" w:lineRule="auto"/>
              <w:jc w:val="left"/>
              <w:rPr>
                <w:rFonts w:ascii="宋体" w:hAnsi="宋体"/>
                <w:kern w:val="0"/>
                <w:sz w:val="24"/>
                <w:szCs w:val="24"/>
              </w:rPr>
            </w:pPr>
            <w:r>
              <w:rPr>
                <w:rFonts w:hint="eastAsia"/>
                <w:kern w:val="0"/>
                <w:sz w:val="24"/>
                <w:szCs w:val="24"/>
              </w:rPr>
              <w:t>一次性使用鼻咽通气异型气道导管</w:t>
            </w:r>
          </w:p>
        </w:tc>
        <w:tc>
          <w:tcPr>
            <w:tcW w:w="4213" w:type="dxa"/>
            <w:vAlign w:val="center"/>
          </w:tcPr>
          <w:p>
            <w:pPr>
              <w:spacing w:line="276" w:lineRule="auto"/>
              <w:rPr>
                <w:rFonts w:hint="eastAsia"/>
                <w:kern w:val="0"/>
                <w:sz w:val="24"/>
                <w:szCs w:val="24"/>
              </w:rPr>
            </w:pPr>
            <w:r>
              <w:rPr>
                <w:rFonts w:hint="eastAsia"/>
                <w:kern w:val="0"/>
                <w:sz w:val="24"/>
                <w:szCs w:val="24"/>
              </w:rPr>
              <w:t>用于肥胖、睡眠呼吸暂停或其他不插管全麻需要短暂气道支持患者，维持上呼吸道通畅用。头端需较软，不易造成鼻道出血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232" w:type="dxa"/>
            <w:vAlign w:val="center"/>
          </w:tcPr>
          <w:p>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3</w:t>
            </w:r>
          </w:p>
        </w:tc>
        <w:tc>
          <w:tcPr>
            <w:tcW w:w="2832" w:type="dxa"/>
            <w:vAlign w:val="center"/>
          </w:tcPr>
          <w:p>
            <w:pPr>
              <w:spacing w:line="276" w:lineRule="auto"/>
              <w:rPr>
                <w:rFonts w:hint="eastAsia"/>
                <w:kern w:val="0"/>
                <w:sz w:val="24"/>
                <w:szCs w:val="24"/>
              </w:rPr>
            </w:pPr>
            <w:r>
              <w:rPr>
                <w:rFonts w:hint="eastAsia"/>
                <w:kern w:val="0"/>
                <w:sz w:val="24"/>
                <w:szCs w:val="24"/>
              </w:rPr>
              <w:t>微血管吻合装置</w:t>
            </w:r>
          </w:p>
        </w:tc>
        <w:tc>
          <w:tcPr>
            <w:tcW w:w="4213" w:type="dxa"/>
            <w:vAlign w:val="center"/>
          </w:tcPr>
          <w:p>
            <w:pPr>
              <w:spacing w:line="276" w:lineRule="auto"/>
              <w:rPr>
                <w:rFonts w:hint="eastAsia"/>
                <w:kern w:val="0"/>
                <w:sz w:val="24"/>
                <w:szCs w:val="24"/>
              </w:rPr>
            </w:pPr>
            <w:r>
              <w:rPr>
                <w:rFonts w:hint="eastAsia"/>
                <w:kern w:val="0"/>
                <w:sz w:val="24"/>
                <w:szCs w:val="24"/>
              </w:rPr>
              <w:t>适用于以下伤口：上肢血管损伤修复、四肢血管损伤修复、上肢远端动脉损伤修复及游离皮瓣移植术。适用于外径不小于0.8毫米并且不大于4.3毫米并且壁厚≤0.5毫米的动脉和静脉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4</w:t>
            </w:r>
          </w:p>
        </w:tc>
        <w:tc>
          <w:tcPr>
            <w:tcW w:w="2832" w:type="dxa"/>
            <w:vAlign w:val="center"/>
          </w:tcPr>
          <w:p>
            <w:pPr>
              <w:spacing w:line="276" w:lineRule="auto"/>
              <w:rPr>
                <w:rFonts w:hint="eastAsia"/>
                <w:kern w:val="0"/>
                <w:sz w:val="24"/>
                <w:szCs w:val="24"/>
              </w:rPr>
            </w:pPr>
            <w:r>
              <w:rPr>
                <w:rFonts w:hint="eastAsia"/>
                <w:kern w:val="0"/>
                <w:sz w:val="24"/>
                <w:szCs w:val="24"/>
              </w:rPr>
              <w:t>人工椎体</w:t>
            </w:r>
          </w:p>
        </w:tc>
        <w:tc>
          <w:tcPr>
            <w:tcW w:w="4213" w:type="dxa"/>
            <w:vAlign w:val="center"/>
          </w:tcPr>
          <w:p>
            <w:pPr>
              <w:spacing w:line="276" w:lineRule="auto"/>
              <w:rPr>
                <w:rFonts w:hint="eastAsia"/>
                <w:kern w:val="0"/>
                <w:sz w:val="24"/>
                <w:szCs w:val="24"/>
              </w:rPr>
            </w:pPr>
            <w:r>
              <w:rPr>
                <w:rFonts w:hint="eastAsia"/>
                <w:kern w:val="0"/>
                <w:sz w:val="24"/>
                <w:szCs w:val="24"/>
              </w:rPr>
              <w:t>用于椎体切除术，适用于置换塌陷、损伤或不稳定的椎体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5</w:t>
            </w:r>
          </w:p>
        </w:tc>
        <w:tc>
          <w:tcPr>
            <w:tcW w:w="2832" w:type="dxa"/>
            <w:vAlign w:val="center"/>
          </w:tcPr>
          <w:p>
            <w:pPr>
              <w:spacing w:line="276" w:lineRule="auto"/>
              <w:rPr>
                <w:rFonts w:hint="eastAsia"/>
                <w:kern w:val="0"/>
                <w:sz w:val="24"/>
                <w:szCs w:val="24"/>
              </w:rPr>
            </w:pPr>
            <w:r>
              <w:rPr>
                <w:rFonts w:hint="eastAsia"/>
                <w:kern w:val="0"/>
                <w:sz w:val="24"/>
                <w:szCs w:val="24"/>
              </w:rPr>
              <w:t>亲水涂层造影导管</w:t>
            </w:r>
          </w:p>
        </w:tc>
        <w:tc>
          <w:tcPr>
            <w:tcW w:w="4213" w:type="dxa"/>
            <w:vAlign w:val="center"/>
          </w:tcPr>
          <w:p>
            <w:pPr>
              <w:spacing w:line="276" w:lineRule="auto"/>
              <w:rPr>
                <w:rFonts w:hint="eastAsia"/>
                <w:kern w:val="0"/>
                <w:sz w:val="24"/>
                <w:szCs w:val="24"/>
              </w:rPr>
            </w:pPr>
            <w:r>
              <w:rPr>
                <w:rFonts w:hint="eastAsia"/>
                <w:kern w:val="0"/>
                <w:sz w:val="24"/>
                <w:szCs w:val="24"/>
              </w:rPr>
              <w:t>管身表面涂覆有亲水涂层，用于脑血管造影，提供各种型号（需有125cm长度）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6</w:t>
            </w:r>
          </w:p>
        </w:tc>
        <w:tc>
          <w:tcPr>
            <w:tcW w:w="2832" w:type="dxa"/>
            <w:vAlign w:val="center"/>
          </w:tcPr>
          <w:p>
            <w:pPr>
              <w:spacing w:line="276" w:lineRule="auto"/>
              <w:rPr>
                <w:rFonts w:hint="eastAsia"/>
                <w:kern w:val="0"/>
                <w:sz w:val="24"/>
                <w:szCs w:val="24"/>
              </w:rPr>
            </w:pPr>
            <w:r>
              <w:rPr>
                <w:rFonts w:hint="eastAsia"/>
                <w:kern w:val="0"/>
                <w:sz w:val="24"/>
                <w:szCs w:val="24"/>
              </w:rPr>
              <w:t>神经介入微导管</w:t>
            </w:r>
          </w:p>
        </w:tc>
        <w:tc>
          <w:tcPr>
            <w:tcW w:w="4213" w:type="dxa"/>
            <w:vAlign w:val="center"/>
          </w:tcPr>
          <w:p>
            <w:pPr>
              <w:spacing w:line="276" w:lineRule="auto"/>
              <w:rPr>
                <w:rFonts w:hint="eastAsia"/>
                <w:kern w:val="0"/>
                <w:sz w:val="24"/>
                <w:szCs w:val="24"/>
              </w:rPr>
            </w:pPr>
            <w:r>
              <w:rPr>
                <w:rFonts w:hint="eastAsia"/>
                <w:kern w:val="0"/>
                <w:sz w:val="24"/>
                <w:szCs w:val="24"/>
              </w:rPr>
              <w:t>用于脑动静脉畸形的栓塞治疗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7</w:t>
            </w:r>
          </w:p>
        </w:tc>
        <w:tc>
          <w:tcPr>
            <w:tcW w:w="2832" w:type="dxa"/>
            <w:vAlign w:val="center"/>
          </w:tcPr>
          <w:p>
            <w:pPr>
              <w:spacing w:line="276" w:lineRule="auto"/>
              <w:rPr>
                <w:rFonts w:hint="eastAsia"/>
                <w:kern w:val="0"/>
                <w:sz w:val="24"/>
                <w:szCs w:val="24"/>
              </w:rPr>
            </w:pPr>
            <w:r>
              <w:rPr>
                <w:rFonts w:hint="eastAsia"/>
                <w:kern w:val="0"/>
                <w:sz w:val="24"/>
                <w:szCs w:val="24"/>
              </w:rPr>
              <w:t>一次性使用磁定位盐水灌注射频消融导管</w:t>
            </w:r>
          </w:p>
        </w:tc>
        <w:tc>
          <w:tcPr>
            <w:tcW w:w="4213" w:type="dxa"/>
            <w:vAlign w:val="center"/>
          </w:tcPr>
          <w:p>
            <w:pPr>
              <w:spacing w:line="276" w:lineRule="auto"/>
              <w:rPr>
                <w:rFonts w:hint="eastAsia"/>
                <w:kern w:val="0"/>
                <w:sz w:val="24"/>
                <w:szCs w:val="24"/>
              </w:rPr>
            </w:pPr>
            <w:r>
              <w:rPr>
                <w:rFonts w:hint="eastAsia"/>
                <w:kern w:val="0"/>
                <w:sz w:val="24"/>
                <w:szCs w:val="24"/>
              </w:rPr>
              <w:t>用于心内消融术，需与四川锦江三维消融系统配套使用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8</w:t>
            </w:r>
          </w:p>
        </w:tc>
        <w:tc>
          <w:tcPr>
            <w:tcW w:w="2832" w:type="dxa"/>
            <w:vAlign w:val="center"/>
          </w:tcPr>
          <w:p>
            <w:pPr>
              <w:spacing w:line="276" w:lineRule="auto"/>
              <w:rPr>
                <w:rFonts w:hint="eastAsia"/>
                <w:kern w:val="0"/>
                <w:sz w:val="24"/>
                <w:szCs w:val="24"/>
              </w:rPr>
            </w:pPr>
            <w:r>
              <w:rPr>
                <w:rFonts w:hint="eastAsia"/>
                <w:kern w:val="0"/>
                <w:sz w:val="24"/>
                <w:szCs w:val="24"/>
              </w:rPr>
              <w:t>双腔起搏器</w:t>
            </w:r>
          </w:p>
        </w:tc>
        <w:tc>
          <w:tcPr>
            <w:tcW w:w="4213" w:type="dxa"/>
            <w:vAlign w:val="center"/>
          </w:tcPr>
          <w:p>
            <w:pPr>
              <w:spacing w:line="276" w:lineRule="auto"/>
              <w:rPr>
                <w:rFonts w:hint="eastAsia"/>
                <w:kern w:val="0"/>
                <w:sz w:val="24"/>
                <w:szCs w:val="24"/>
              </w:rPr>
            </w:pPr>
            <w:r>
              <w:rPr>
                <w:rFonts w:hint="eastAsia"/>
                <w:kern w:val="0"/>
                <w:sz w:val="24"/>
                <w:szCs w:val="24"/>
              </w:rPr>
              <w:t>兼容3.0T磁共振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9</w:t>
            </w:r>
          </w:p>
        </w:tc>
        <w:tc>
          <w:tcPr>
            <w:tcW w:w="2832" w:type="dxa"/>
            <w:vAlign w:val="center"/>
          </w:tcPr>
          <w:p>
            <w:pPr>
              <w:spacing w:line="276" w:lineRule="auto"/>
              <w:rPr>
                <w:rFonts w:hint="eastAsia"/>
                <w:kern w:val="0"/>
                <w:sz w:val="24"/>
                <w:szCs w:val="24"/>
              </w:rPr>
            </w:pPr>
            <w:r>
              <w:rPr>
                <w:rFonts w:hint="eastAsia"/>
                <w:kern w:val="0"/>
                <w:sz w:val="24"/>
                <w:szCs w:val="24"/>
              </w:rPr>
              <w:t>OTW球囊扩张导管</w:t>
            </w:r>
          </w:p>
        </w:tc>
        <w:tc>
          <w:tcPr>
            <w:tcW w:w="4213" w:type="dxa"/>
            <w:vAlign w:val="center"/>
          </w:tcPr>
          <w:p>
            <w:pPr>
              <w:spacing w:line="276" w:lineRule="auto"/>
              <w:rPr>
                <w:rFonts w:hint="eastAsia"/>
                <w:kern w:val="0"/>
                <w:sz w:val="24"/>
                <w:szCs w:val="24"/>
              </w:rPr>
            </w:pPr>
            <w:r>
              <w:rPr>
                <w:rFonts w:hint="eastAsia"/>
                <w:kern w:val="0"/>
                <w:sz w:val="24"/>
                <w:szCs w:val="24"/>
              </w:rPr>
              <w:t>对冠状动脉的狭窄节段或搭桥狭窄部位进行球囊导管扩张，提供各种型号（需有6mm长度）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r>
              <w:rPr>
                <w:rFonts w:ascii="宋体" w:hAnsi="宋体"/>
                <w:color w:val="000000" w:themeColor="text1"/>
                <w:kern w:val="0"/>
                <w:sz w:val="24"/>
                <w:szCs w:val="24"/>
                <w14:textFill>
                  <w14:solidFill>
                    <w14:schemeClr w14:val="tx1"/>
                  </w14:solidFill>
                </w14:textFill>
              </w:rPr>
              <w:t>1</w:t>
            </w:r>
          </w:p>
        </w:tc>
        <w:tc>
          <w:tcPr>
            <w:tcW w:w="2832" w:type="dxa"/>
            <w:vAlign w:val="center"/>
          </w:tcPr>
          <w:p>
            <w:pPr>
              <w:spacing w:line="276" w:lineRule="auto"/>
              <w:rPr>
                <w:rFonts w:hint="eastAsia"/>
                <w:kern w:val="0"/>
                <w:sz w:val="24"/>
                <w:szCs w:val="24"/>
              </w:rPr>
            </w:pPr>
            <w:r>
              <w:rPr>
                <w:rFonts w:hint="eastAsia"/>
                <w:kern w:val="0"/>
                <w:sz w:val="24"/>
                <w:szCs w:val="24"/>
              </w:rPr>
              <w:t>注射用交联透明质酸钠凝胶</w:t>
            </w:r>
          </w:p>
        </w:tc>
        <w:tc>
          <w:tcPr>
            <w:tcW w:w="4213" w:type="dxa"/>
            <w:vAlign w:val="center"/>
          </w:tcPr>
          <w:p>
            <w:pPr>
              <w:spacing w:line="276" w:lineRule="auto"/>
              <w:rPr>
                <w:rFonts w:hint="eastAsia"/>
                <w:kern w:val="0"/>
                <w:sz w:val="24"/>
                <w:szCs w:val="24"/>
              </w:rPr>
            </w:pPr>
            <w:r>
              <w:rPr>
                <w:rFonts w:hint="eastAsia"/>
                <w:kern w:val="0"/>
                <w:sz w:val="24"/>
                <w:szCs w:val="24"/>
              </w:rPr>
              <w:t>用于手背部真皮层透明质酸钠注射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r>
              <w:rPr>
                <w:rFonts w:ascii="宋体" w:hAnsi="宋体"/>
                <w:color w:val="000000" w:themeColor="text1"/>
                <w:kern w:val="0"/>
                <w:sz w:val="24"/>
                <w:szCs w:val="24"/>
                <w14:textFill>
                  <w14:solidFill>
                    <w14:schemeClr w14:val="tx1"/>
                  </w14:solidFill>
                </w14:textFill>
              </w:rPr>
              <w:t>2</w:t>
            </w:r>
          </w:p>
        </w:tc>
        <w:tc>
          <w:tcPr>
            <w:tcW w:w="2832" w:type="dxa"/>
            <w:vAlign w:val="center"/>
          </w:tcPr>
          <w:p>
            <w:pPr>
              <w:spacing w:line="276" w:lineRule="auto"/>
              <w:rPr>
                <w:rFonts w:hint="eastAsia"/>
                <w:kern w:val="0"/>
                <w:sz w:val="24"/>
                <w:szCs w:val="24"/>
              </w:rPr>
            </w:pPr>
            <w:r>
              <w:rPr>
                <w:rFonts w:hint="eastAsia"/>
                <w:kern w:val="0"/>
                <w:sz w:val="24"/>
                <w:szCs w:val="24"/>
              </w:rPr>
              <w:t>心肌保护停跳液</w:t>
            </w:r>
          </w:p>
        </w:tc>
        <w:tc>
          <w:tcPr>
            <w:tcW w:w="4213" w:type="dxa"/>
            <w:vAlign w:val="center"/>
          </w:tcPr>
          <w:p>
            <w:pPr>
              <w:spacing w:line="276" w:lineRule="auto"/>
              <w:rPr>
                <w:rFonts w:hint="eastAsia"/>
                <w:kern w:val="0"/>
                <w:sz w:val="24"/>
                <w:szCs w:val="24"/>
              </w:rPr>
            </w:pPr>
            <w:r>
              <w:rPr>
                <w:rFonts w:hint="eastAsia"/>
                <w:kern w:val="0"/>
                <w:sz w:val="24"/>
                <w:szCs w:val="24"/>
              </w:rPr>
              <w:t>用于需搭建体外循环的心脏外科手术，如先天性心脏病手术、心脏瓣膜手术、冠状动脉旁路移植手术、大血管手术。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r>
              <w:rPr>
                <w:rFonts w:ascii="宋体" w:hAnsi="宋体"/>
                <w:color w:val="000000" w:themeColor="text1"/>
                <w:kern w:val="0"/>
                <w:sz w:val="24"/>
                <w:szCs w:val="24"/>
                <w14:textFill>
                  <w14:solidFill>
                    <w14:schemeClr w14:val="tx1"/>
                  </w14:solidFill>
                </w14:textFill>
              </w:rPr>
              <w:t>3</w:t>
            </w:r>
          </w:p>
        </w:tc>
        <w:tc>
          <w:tcPr>
            <w:tcW w:w="2832" w:type="dxa"/>
            <w:vAlign w:val="center"/>
          </w:tcPr>
          <w:p>
            <w:pPr>
              <w:spacing w:line="276" w:lineRule="auto"/>
              <w:rPr>
                <w:rFonts w:hint="eastAsia"/>
                <w:kern w:val="0"/>
                <w:sz w:val="24"/>
                <w:szCs w:val="24"/>
              </w:rPr>
            </w:pPr>
            <w:r>
              <w:rPr>
                <w:rFonts w:hint="eastAsia"/>
                <w:kern w:val="0"/>
                <w:sz w:val="24"/>
                <w:szCs w:val="24"/>
              </w:rPr>
              <w:t>血气测定试剂盒</w:t>
            </w:r>
          </w:p>
        </w:tc>
        <w:tc>
          <w:tcPr>
            <w:tcW w:w="4213" w:type="dxa"/>
            <w:vAlign w:val="center"/>
          </w:tcPr>
          <w:p>
            <w:pPr>
              <w:spacing w:line="276" w:lineRule="auto"/>
              <w:rPr>
                <w:rFonts w:hint="eastAsia"/>
                <w:kern w:val="0"/>
                <w:sz w:val="24"/>
                <w:szCs w:val="24"/>
              </w:rPr>
            </w:pPr>
            <w:r>
              <w:rPr>
                <w:rFonts w:hint="eastAsia"/>
                <w:kern w:val="0"/>
                <w:sz w:val="24"/>
                <w:szCs w:val="24"/>
              </w:rPr>
              <w:t>用于血气分析，与GEM Premier 3500血气分析仪配套使用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r>
              <w:rPr>
                <w:rFonts w:ascii="宋体" w:hAnsi="宋体"/>
                <w:color w:val="000000" w:themeColor="text1"/>
                <w:kern w:val="0"/>
                <w:sz w:val="24"/>
                <w:szCs w:val="24"/>
                <w14:textFill>
                  <w14:solidFill>
                    <w14:schemeClr w14:val="tx1"/>
                  </w14:solidFill>
                </w14:textFill>
              </w:rPr>
              <w:t>4</w:t>
            </w:r>
          </w:p>
        </w:tc>
        <w:tc>
          <w:tcPr>
            <w:tcW w:w="2832" w:type="dxa"/>
            <w:vAlign w:val="center"/>
          </w:tcPr>
          <w:p>
            <w:pPr>
              <w:spacing w:line="276" w:lineRule="auto"/>
              <w:rPr>
                <w:rFonts w:hint="eastAsia"/>
                <w:kern w:val="0"/>
                <w:sz w:val="24"/>
                <w:szCs w:val="24"/>
              </w:rPr>
            </w:pPr>
            <w:r>
              <w:rPr>
                <w:rFonts w:hint="eastAsia"/>
                <w:kern w:val="0"/>
                <w:sz w:val="24"/>
                <w:szCs w:val="24"/>
              </w:rPr>
              <w:t>可视鼻胃肠管</w:t>
            </w:r>
          </w:p>
        </w:tc>
        <w:tc>
          <w:tcPr>
            <w:tcW w:w="4213" w:type="dxa"/>
            <w:vAlign w:val="center"/>
          </w:tcPr>
          <w:p>
            <w:pPr>
              <w:spacing w:line="276" w:lineRule="auto"/>
              <w:rPr>
                <w:rFonts w:hint="eastAsia"/>
                <w:kern w:val="0"/>
                <w:sz w:val="24"/>
                <w:szCs w:val="24"/>
              </w:rPr>
            </w:pPr>
            <w:r>
              <w:rPr>
                <w:rFonts w:hint="eastAsia"/>
                <w:kern w:val="0"/>
                <w:sz w:val="24"/>
                <w:szCs w:val="24"/>
              </w:rPr>
              <w:t>配合可视化设备，判断胃管在消化道内位置并可辅助管子通过幽门进入空肠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r>
              <w:rPr>
                <w:rFonts w:ascii="宋体" w:hAnsi="宋体"/>
                <w:color w:val="000000" w:themeColor="text1"/>
                <w:kern w:val="0"/>
                <w:sz w:val="24"/>
                <w:szCs w:val="24"/>
                <w14:textFill>
                  <w14:solidFill>
                    <w14:schemeClr w14:val="tx1"/>
                  </w14:solidFill>
                </w14:textFill>
              </w:rPr>
              <w:t>6</w:t>
            </w:r>
          </w:p>
        </w:tc>
        <w:tc>
          <w:tcPr>
            <w:tcW w:w="2832" w:type="dxa"/>
            <w:vAlign w:val="center"/>
          </w:tcPr>
          <w:p>
            <w:pPr>
              <w:spacing w:line="276" w:lineRule="auto"/>
              <w:rPr>
                <w:rFonts w:hint="eastAsia"/>
                <w:kern w:val="0"/>
                <w:sz w:val="24"/>
                <w:szCs w:val="24"/>
              </w:rPr>
            </w:pPr>
            <w:r>
              <w:rPr>
                <w:rFonts w:hint="eastAsia"/>
                <w:kern w:val="0"/>
                <w:sz w:val="24"/>
                <w:szCs w:val="24"/>
              </w:rPr>
              <w:t>无创心输出量电极片</w:t>
            </w:r>
          </w:p>
        </w:tc>
        <w:tc>
          <w:tcPr>
            <w:tcW w:w="4213" w:type="dxa"/>
            <w:vAlign w:val="center"/>
          </w:tcPr>
          <w:p>
            <w:pPr>
              <w:spacing w:line="276" w:lineRule="auto"/>
              <w:rPr>
                <w:rFonts w:hint="eastAsia"/>
                <w:kern w:val="0"/>
                <w:sz w:val="24"/>
                <w:szCs w:val="24"/>
              </w:rPr>
            </w:pPr>
            <w:r>
              <w:rPr>
                <w:rFonts w:hint="eastAsia"/>
                <w:kern w:val="0"/>
                <w:sz w:val="24"/>
                <w:szCs w:val="24"/>
              </w:rPr>
              <w:t>用于和设备配套使用，供心电监测使用，提供配套设备。</w:t>
            </w:r>
            <w:r>
              <w:rPr>
                <w:rFonts w:hint="eastAsia"/>
                <w:kern w:val="0"/>
                <w:sz w:val="24"/>
                <w:szCs w:val="24"/>
              </w:rPr>
              <w:br w:type="textWrapping"/>
            </w:r>
            <w:r>
              <w:rPr>
                <w:rFonts w:hint="eastAsia"/>
                <w:kern w:val="0"/>
                <w:sz w:val="24"/>
                <w:szCs w:val="24"/>
              </w:rPr>
              <w:t>配套设备可检测心率、血压及心输出量，心脏指数、每搏输出量、美博指数、射血期收缩指数、变力状态指数生理参数，适用于医疗单位对患者血流动力学指标进行无创评估。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1</w:t>
            </w:r>
            <w:r>
              <w:rPr>
                <w:rFonts w:ascii="宋体" w:hAnsi="宋体"/>
                <w:color w:val="000000" w:themeColor="text1"/>
                <w:kern w:val="0"/>
                <w:sz w:val="24"/>
                <w:szCs w:val="24"/>
                <w14:textFill>
                  <w14:solidFill>
                    <w14:schemeClr w14:val="tx1"/>
                  </w14:solidFill>
                </w14:textFill>
              </w:rPr>
              <w:t>7</w:t>
            </w:r>
          </w:p>
        </w:tc>
        <w:tc>
          <w:tcPr>
            <w:tcW w:w="2832" w:type="dxa"/>
            <w:vAlign w:val="center"/>
          </w:tcPr>
          <w:p>
            <w:pPr>
              <w:spacing w:line="276" w:lineRule="auto"/>
              <w:rPr>
                <w:rFonts w:hint="eastAsia"/>
                <w:kern w:val="0"/>
                <w:sz w:val="24"/>
                <w:szCs w:val="24"/>
              </w:rPr>
            </w:pPr>
            <w:r>
              <w:rPr>
                <w:rFonts w:hint="eastAsia"/>
                <w:kern w:val="0"/>
                <w:sz w:val="24"/>
                <w:szCs w:val="24"/>
              </w:rPr>
              <w:t>一次性使用心电电极</w:t>
            </w:r>
          </w:p>
        </w:tc>
        <w:tc>
          <w:tcPr>
            <w:tcW w:w="4213" w:type="dxa"/>
            <w:vAlign w:val="center"/>
          </w:tcPr>
          <w:p>
            <w:pPr>
              <w:spacing w:line="276" w:lineRule="auto"/>
              <w:rPr>
                <w:rFonts w:hint="eastAsia"/>
                <w:kern w:val="0"/>
                <w:sz w:val="24"/>
                <w:szCs w:val="24"/>
              </w:rPr>
            </w:pPr>
            <w:r>
              <w:rPr>
                <w:rFonts w:hint="eastAsia"/>
                <w:kern w:val="0"/>
                <w:sz w:val="24"/>
                <w:szCs w:val="24"/>
              </w:rPr>
              <w:t>用于无创血流动力学监测，可匹配血动图使用，提供配套设备。</w:t>
            </w:r>
            <w:r>
              <w:rPr>
                <w:rFonts w:hint="eastAsia"/>
                <w:kern w:val="0"/>
                <w:sz w:val="24"/>
                <w:szCs w:val="24"/>
              </w:rPr>
              <w:br w:type="textWrapping"/>
            </w:r>
            <w:r>
              <w:rPr>
                <w:rFonts w:hint="eastAsia"/>
                <w:kern w:val="0"/>
                <w:sz w:val="24"/>
                <w:szCs w:val="24"/>
              </w:rPr>
              <w:t>配套设备可用于高血压、心衰等心脑血管疾病的分型诊断和用药指导。</w:t>
            </w:r>
          </w:p>
        </w:tc>
      </w:tr>
    </w:tbl>
    <w:p>
      <w:pPr>
        <w:spacing w:line="360" w:lineRule="auto"/>
        <w:ind w:left="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 xml:space="preserve"> </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3</w:t>
      </w:r>
      <w:r>
        <w:rPr>
          <w:rFonts w:hint="eastAsia" w:ascii="宋体" w:hAnsi="宋体"/>
          <w:bCs/>
          <w:color w:val="000000" w:themeColor="text1"/>
          <w:sz w:val="24"/>
          <w14:textFill>
            <w14:solidFill>
              <w14:schemeClr w14:val="tx1"/>
            </w14:solidFill>
          </w14:textFill>
        </w:rPr>
        <w:t>年</w:t>
      </w:r>
      <w:r>
        <w:rPr>
          <w:rFonts w:ascii="宋体" w:hAnsi="宋体"/>
          <w:bCs/>
          <w:color w:val="000000" w:themeColor="text1"/>
          <w:sz w:val="24"/>
          <w14:textFill>
            <w14:solidFill>
              <w14:schemeClr w14:val="tx1"/>
            </w14:solidFill>
          </w14:textFill>
        </w:rPr>
        <w:t>1</w:t>
      </w:r>
      <w:r>
        <w:rPr>
          <w:rFonts w:hint="eastAsia"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 xml:space="preserve">日 </w:t>
      </w:r>
      <w:r>
        <w:rPr>
          <w:rFonts w:ascii="宋体" w:hAnsi="宋体"/>
          <w:bCs/>
          <w:color w:val="000000" w:themeColor="text1"/>
          <w:sz w:val="24"/>
          <w14:textFill>
            <w14:solidFill>
              <w14:schemeClr w14:val="tx1"/>
            </w14:solidFill>
          </w14:textFill>
        </w:rPr>
        <w:t>17:00前</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bookmarkStart w:id="1" w:name="_GoBack"/>
      <w:bookmarkEnd w:id="1"/>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2号楼516房间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pPr>
        <w:tabs>
          <w:tab w:val="left" w:pos="540"/>
        </w:tabs>
        <w:spacing w:line="360" w:lineRule="auto"/>
        <w:ind w:left="540"/>
        <w:rPr>
          <w:rFonts w:ascii="宋体" w:hAnsi="宋体"/>
          <w:color w:val="000000"/>
          <w:sz w:val="24"/>
        </w:rPr>
      </w:pPr>
      <w:r>
        <w:rPr>
          <w:rFonts w:ascii="宋体" w:hAnsi="宋体"/>
          <w:color w:val="000000"/>
          <w:sz w:val="24"/>
        </w:rPr>
        <w:t>4.</w:t>
      </w:r>
      <w:r>
        <w:rPr>
          <w:rFonts w:hint="eastAsia" w:ascii="宋体" w:hAnsi="宋体"/>
          <w:color w:val="000000"/>
          <w:sz w:val="24"/>
        </w:rPr>
        <w:t>负责设备的安装、调试；</w:t>
      </w:r>
    </w:p>
    <w:p>
      <w:pPr>
        <w:tabs>
          <w:tab w:val="left" w:pos="540"/>
        </w:tabs>
        <w:spacing w:line="360" w:lineRule="auto"/>
        <w:ind w:left="540"/>
        <w:rPr>
          <w:rFonts w:ascii="宋体" w:hAnsi="宋体"/>
          <w:color w:val="000000"/>
          <w:sz w:val="24"/>
        </w:rPr>
      </w:pPr>
      <w:r>
        <w:rPr>
          <w:rFonts w:ascii="宋体" w:hAnsi="宋体"/>
          <w:color w:val="000000"/>
          <w:sz w:val="24"/>
        </w:rPr>
        <w:t>5.若采用租赁形式，租赁服务包括的内容</w:t>
      </w:r>
    </w:p>
    <w:p>
      <w:pPr>
        <w:tabs>
          <w:tab w:val="left" w:pos="540"/>
        </w:tabs>
        <w:spacing w:line="360" w:lineRule="auto"/>
        <w:ind w:left="540"/>
        <w:rPr>
          <w:rFonts w:ascii="宋体" w:hAnsi="宋体"/>
          <w:color w:val="000000"/>
          <w:sz w:val="24"/>
        </w:rPr>
      </w:pPr>
      <w:r>
        <w:rPr>
          <w:rFonts w:ascii="宋体" w:hAnsi="宋体"/>
          <w:color w:val="000000"/>
          <w:sz w:val="24"/>
        </w:rPr>
        <w:t>5.1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pPr>
        <w:tabs>
          <w:tab w:val="left" w:pos="540"/>
        </w:tabs>
        <w:spacing w:line="360" w:lineRule="auto"/>
        <w:ind w:left="540"/>
        <w:rPr>
          <w:rFonts w:ascii="宋体" w:hAnsi="宋体"/>
          <w:color w:val="000000"/>
          <w:sz w:val="24"/>
        </w:rPr>
      </w:pPr>
      <w:r>
        <w:rPr>
          <w:rFonts w:ascii="宋体" w:hAnsi="宋体"/>
          <w:color w:val="000000"/>
          <w:sz w:val="24"/>
        </w:rPr>
        <w:t>5.2</w:t>
      </w:r>
      <w:r>
        <w:rPr>
          <w:rFonts w:hint="eastAsia" w:ascii="宋体" w:hAnsi="宋体"/>
          <w:color w:val="000000"/>
          <w:sz w:val="24"/>
        </w:rPr>
        <w:t xml:space="preserve"> 租赁费用逐年支付，当年租赁服务完成后支付；</w:t>
      </w:r>
    </w:p>
    <w:p>
      <w:pPr>
        <w:tabs>
          <w:tab w:val="left" w:pos="540"/>
        </w:tabs>
        <w:spacing w:line="360" w:lineRule="auto"/>
        <w:ind w:left="540"/>
        <w:rPr>
          <w:rFonts w:ascii="宋体" w:hAnsi="宋体"/>
          <w:color w:val="000000"/>
          <w:sz w:val="24"/>
        </w:rPr>
      </w:pPr>
      <w:r>
        <w:rPr>
          <w:rFonts w:ascii="宋体" w:hAnsi="宋体"/>
          <w:color w:val="000000"/>
          <w:sz w:val="24"/>
        </w:rPr>
        <w:t>5.3</w:t>
      </w:r>
      <w:r>
        <w:rPr>
          <w:rFonts w:hint="eastAsia" w:ascii="宋体" w:hAnsi="宋体"/>
          <w:color w:val="000000"/>
          <w:sz w:val="24"/>
        </w:rPr>
        <w:t>包含必要的计量检测等相关费用；</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1</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2</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售后服务</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3</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供货及时性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4</w:t>
            </w:r>
          </w:p>
        </w:tc>
        <w:tc>
          <w:tcPr>
            <w:tcW w:w="182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仓储条件</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color w:val="000000"/>
                <w:kern w:val="0"/>
                <w:szCs w:val="21"/>
              </w:rPr>
            </w:pPr>
            <w:r>
              <w:rPr>
                <w:rFonts w:hint="eastAsia" w:ascii="宋体" w:hAnsi="宋体"/>
                <w:color w:val="000000"/>
                <w:kern w:val="0"/>
                <w:szCs w:val="21"/>
              </w:rPr>
              <w:t>根据供应商提供的仓储条件给0</w:t>
            </w:r>
            <w:r>
              <w:rPr>
                <w:rFonts w:ascii="宋体" w:hAnsi="宋体"/>
                <w:color w:val="000000"/>
                <w:kern w:val="0"/>
                <w:szCs w:val="21"/>
              </w:rPr>
              <w:t>-5分</w:t>
            </w:r>
            <w:r>
              <w:rPr>
                <w:rFonts w:hint="eastAsia" w:ascii="宋体" w:hAnsi="宋体"/>
                <w:color w:val="000000"/>
                <w:kern w:val="0"/>
                <w:szCs w:val="21"/>
              </w:rPr>
              <w:t>。</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5</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品牌认同度</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根据品牌认同度情况给0</w:t>
            </w:r>
            <w:r>
              <w:rPr>
                <w:rFonts w:ascii="宋体" w:hAnsi="宋体" w:cs="宋体"/>
                <w:color w:val="000000"/>
                <w:kern w:val="0"/>
                <w:szCs w:val="21"/>
              </w:rPr>
              <w:t>-5分</w:t>
            </w:r>
            <w:r>
              <w:rPr>
                <w:rFonts w:hint="eastAsia" w:ascii="宋体" w:hAnsi="宋体" w:cs="宋体"/>
                <w:color w:val="000000"/>
                <w:kern w:val="0"/>
                <w:szCs w:val="21"/>
              </w:rPr>
              <w:t>。</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6</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提供自2</w:t>
            </w:r>
            <w:r>
              <w:rPr>
                <w:rFonts w:ascii="宋体" w:hAnsi="宋体" w:cs="宋体"/>
                <w:color w:val="000000"/>
                <w:kern w:val="0"/>
                <w:szCs w:val="21"/>
              </w:rPr>
              <w:t>021年</w:t>
            </w:r>
            <w:r>
              <w:rPr>
                <w:rFonts w:hint="eastAsia" w:ascii="宋体" w:hAnsi="宋体" w:cs="宋体"/>
                <w:color w:val="000000"/>
                <w:kern w:val="0"/>
                <w:szCs w:val="21"/>
              </w:rPr>
              <w:t>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7</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产品材质材料</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产品材质材料充分满足临床使用要求得</w:t>
            </w:r>
            <w:r>
              <w:rPr>
                <w:rFonts w:ascii="宋体" w:hAnsi="宋体" w:cs="宋体"/>
                <w:color w:val="000000"/>
                <w:kern w:val="0"/>
                <w:szCs w:val="21"/>
              </w:rPr>
              <w:t>5</w:t>
            </w:r>
            <w:r>
              <w:rPr>
                <w:rFonts w:hint="eastAsia" w:ascii="宋体" w:hAnsi="宋体" w:cs="宋体"/>
                <w:color w:val="000000"/>
                <w:kern w:val="0"/>
                <w:szCs w:val="21"/>
              </w:rPr>
              <w:t>分；</w:t>
            </w:r>
            <w:r>
              <w:rPr>
                <w:rFonts w:hint="eastAsia" w:ascii="宋体" w:hAnsi="宋体" w:cs="宋体"/>
                <w:color w:val="000000"/>
                <w:kern w:val="0"/>
                <w:szCs w:val="21"/>
              </w:rPr>
              <w:br w:type="textWrapping"/>
            </w:r>
            <w:r>
              <w:rPr>
                <w:rFonts w:hint="eastAsia" w:ascii="宋体" w:hAnsi="宋体" w:cs="宋体"/>
                <w:color w:val="000000"/>
                <w:kern w:val="0"/>
                <w:szCs w:val="21"/>
              </w:rPr>
              <w:t>产品材质材料基本满足临床使用要求得</w:t>
            </w:r>
            <w:r>
              <w:rPr>
                <w:rFonts w:ascii="宋体" w:hAnsi="宋体" w:cs="宋体"/>
                <w:color w:val="000000"/>
                <w:kern w:val="0"/>
                <w:szCs w:val="21"/>
              </w:rPr>
              <w:t>3-4</w:t>
            </w:r>
            <w:r>
              <w:rPr>
                <w:rFonts w:hint="eastAsia" w:ascii="宋体" w:hAnsi="宋体" w:cs="宋体"/>
                <w:color w:val="000000"/>
                <w:kern w:val="0"/>
                <w:szCs w:val="21"/>
              </w:rPr>
              <w:t>分；</w:t>
            </w:r>
            <w:r>
              <w:rPr>
                <w:rFonts w:hint="eastAsia" w:ascii="宋体" w:hAnsi="宋体" w:cs="宋体"/>
                <w:color w:val="000000"/>
                <w:kern w:val="0"/>
                <w:szCs w:val="21"/>
              </w:rPr>
              <w:br w:type="textWrapping"/>
            </w:r>
            <w:r>
              <w:rPr>
                <w:rFonts w:hint="eastAsia" w:ascii="宋体" w:hAnsi="宋体" w:cs="宋体"/>
                <w:color w:val="000000"/>
                <w:kern w:val="0"/>
                <w:szCs w:val="21"/>
              </w:rPr>
              <w:t>产品材质材料部分满足临床使用要求得1-</w:t>
            </w:r>
            <w:r>
              <w:rPr>
                <w:rFonts w:ascii="宋体" w:hAnsi="宋体" w:cs="宋体"/>
                <w:color w:val="000000"/>
                <w:kern w:val="0"/>
                <w:szCs w:val="21"/>
              </w:rPr>
              <w:t>2</w:t>
            </w:r>
            <w:r>
              <w:rPr>
                <w:rFonts w:hint="eastAsia" w:ascii="宋体" w:hAnsi="宋体" w:cs="宋体"/>
                <w:color w:val="000000"/>
                <w:kern w:val="0"/>
                <w:szCs w:val="21"/>
              </w:rPr>
              <w:t>分；</w:t>
            </w:r>
            <w:r>
              <w:rPr>
                <w:rFonts w:hint="eastAsia" w:ascii="宋体" w:hAnsi="宋体" w:cs="宋体"/>
                <w:color w:val="000000"/>
                <w:kern w:val="0"/>
                <w:szCs w:val="21"/>
              </w:rPr>
              <w:br w:type="textWrapping"/>
            </w:r>
            <w:r>
              <w:rPr>
                <w:rFonts w:hint="eastAsia" w:ascii="宋体" w:hAnsi="宋体" w:cs="宋体"/>
                <w:color w:val="000000"/>
                <w:kern w:val="0"/>
                <w:szCs w:val="21"/>
              </w:rPr>
              <w:t>产品材质材料不符合临床使用要求得0分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78"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8</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产品种类规格能充分满足临床使用要求得</w:t>
            </w:r>
            <w:r>
              <w:rPr>
                <w:rFonts w:ascii="宋体" w:hAnsi="宋体" w:cs="宋体"/>
                <w:color w:val="000000"/>
                <w:kern w:val="0"/>
                <w:szCs w:val="21"/>
              </w:rPr>
              <w:t>5</w:t>
            </w:r>
            <w:r>
              <w:rPr>
                <w:rFonts w:hint="eastAsia" w:ascii="宋体" w:hAnsi="宋体" w:cs="宋体"/>
                <w:color w:val="000000"/>
                <w:kern w:val="0"/>
                <w:szCs w:val="21"/>
              </w:rPr>
              <w:t>分；产品种类规格能基本临床使用要求得分</w:t>
            </w:r>
            <w:r>
              <w:rPr>
                <w:rFonts w:ascii="宋体" w:hAnsi="宋体" w:cs="宋体"/>
                <w:color w:val="000000"/>
                <w:kern w:val="0"/>
                <w:szCs w:val="21"/>
              </w:rPr>
              <w:t>3-4</w:t>
            </w:r>
            <w:r>
              <w:rPr>
                <w:rFonts w:hint="eastAsia" w:ascii="宋体" w:hAnsi="宋体" w:cs="宋体"/>
                <w:color w:val="000000"/>
                <w:kern w:val="0"/>
                <w:szCs w:val="21"/>
              </w:rPr>
              <w:t>分；产品种类规格只能部分满足临床使用要求得1-</w:t>
            </w:r>
            <w:r>
              <w:rPr>
                <w:rFonts w:ascii="宋体" w:hAnsi="宋体" w:cs="宋体"/>
                <w:color w:val="000000"/>
                <w:kern w:val="0"/>
                <w:szCs w:val="21"/>
              </w:rPr>
              <w:t>2</w:t>
            </w:r>
            <w:r>
              <w:rPr>
                <w:rFonts w:hint="eastAsia" w:ascii="宋体" w:hAnsi="宋体" w:cs="宋体"/>
                <w:color w:val="000000"/>
                <w:kern w:val="0"/>
                <w:szCs w:val="21"/>
              </w:rPr>
              <w:t>分；产品种类规格不能满足临床使用要求得0分。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9</w:t>
            </w:r>
          </w:p>
        </w:tc>
        <w:tc>
          <w:tcPr>
            <w:tcW w:w="182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产品质量可靠性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color w:val="000000"/>
                <w:kern w:val="0"/>
                <w:szCs w:val="21"/>
              </w:rPr>
            </w:pPr>
            <w:r>
              <w:rPr>
                <w:rFonts w:hint="eastAsia" w:ascii="宋体" w:hAnsi="宋体"/>
                <w:color w:val="000000"/>
                <w:kern w:val="0"/>
                <w:szCs w:val="21"/>
              </w:rPr>
              <w:t>根据临床实际使用情况，认为产品质量可靠的得</w:t>
            </w:r>
            <w:r>
              <w:rPr>
                <w:rFonts w:ascii="Times New Roman" w:hAnsi="Times New Roman"/>
                <w:color w:val="000000"/>
                <w:kern w:val="0"/>
                <w:szCs w:val="21"/>
              </w:rPr>
              <w:t>5</w:t>
            </w:r>
            <w:r>
              <w:rPr>
                <w:rFonts w:hint="eastAsia" w:ascii="宋体" w:hAnsi="宋体"/>
                <w:color w:val="000000"/>
                <w:kern w:val="0"/>
                <w:szCs w:val="21"/>
              </w:rPr>
              <w:t>分；产品质量良的得</w:t>
            </w:r>
            <w:r>
              <w:rPr>
                <w:rFonts w:ascii="Times New Roman" w:hAnsi="Times New Roman"/>
                <w:color w:val="000000"/>
                <w:kern w:val="0"/>
                <w:szCs w:val="21"/>
              </w:rPr>
              <w:t>3-4</w:t>
            </w:r>
            <w:r>
              <w:rPr>
                <w:rFonts w:hint="eastAsia" w:ascii="宋体" w:hAnsi="宋体"/>
                <w:color w:val="000000"/>
                <w:kern w:val="0"/>
                <w:szCs w:val="21"/>
              </w:rPr>
              <w:t>分；产品质量一般的得</w:t>
            </w:r>
            <w:r>
              <w:rPr>
                <w:rFonts w:ascii="Times New Roman" w:hAnsi="Times New Roman"/>
                <w:color w:val="000000"/>
                <w:kern w:val="0"/>
                <w:szCs w:val="21"/>
              </w:rPr>
              <w:t>1-2</w:t>
            </w:r>
            <w:r>
              <w:rPr>
                <w:rFonts w:hint="eastAsia" w:ascii="宋体" w:hAnsi="宋体"/>
                <w:color w:val="000000"/>
                <w:kern w:val="0"/>
                <w:szCs w:val="21"/>
              </w:rPr>
              <w:t>分；产品质量差的得</w:t>
            </w:r>
            <w:r>
              <w:rPr>
                <w:rFonts w:ascii="Times New Roman" w:hAnsi="Times New Roman"/>
                <w:color w:val="000000"/>
                <w:kern w:val="0"/>
                <w:szCs w:val="21"/>
              </w:rPr>
              <w:t>0</w:t>
            </w:r>
            <w:r>
              <w:rPr>
                <w:rFonts w:hint="eastAsia" w:ascii="宋体" w:hAnsi="宋体"/>
                <w:color w:val="000000"/>
                <w:kern w:val="0"/>
                <w:szCs w:val="21"/>
              </w:rPr>
              <w:t>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77"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10</w:t>
            </w:r>
          </w:p>
        </w:tc>
        <w:tc>
          <w:tcPr>
            <w:tcW w:w="182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产品安全性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产品临床安全性能高得</w:t>
            </w:r>
            <w:r>
              <w:rPr>
                <w:rFonts w:ascii="宋体" w:hAnsi="宋体" w:cs="宋体"/>
                <w:color w:val="000000"/>
                <w:kern w:val="0"/>
                <w:szCs w:val="21"/>
              </w:rPr>
              <w:t>5</w:t>
            </w:r>
            <w:r>
              <w:rPr>
                <w:rFonts w:hint="eastAsia" w:ascii="宋体" w:hAnsi="宋体" w:cs="宋体"/>
                <w:color w:val="000000"/>
                <w:kern w:val="0"/>
                <w:szCs w:val="21"/>
              </w:rPr>
              <w:t>分；产品临床安全性能良得</w:t>
            </w:r>
            <w:r>
              <w:rPr>
                <w:rFonts w:ascii="宋体" w:hAnsi="宋体" w:cs="宋体"/>
                <w:color w:val="000000"/>
                <w:kern w:val="0"/>
                <w:szCs w:val="21"/>
              </w:rPr>
              <w:t>3-4</w:t>
            </w:r>
            <w:r>
              <w:rPr>
                <w:rFonts w:hint="eastAsia" w:ascii="宋体" w:hAnsi="宋体" w:cs="宋体"/>
                <w:color w:val="000000"/>
                <w:kern w:val="0"/>
                <w:szCs w:val="21"/>
              </w:rPr>
              <w:t>分；产品临床安全性能一般得1-</w:t>
            </w:r>
            <w:r>
              <w:rPr>
                <w:rFonts w:ascii="宋体" w:hAnsi="宋体" w:cs="宋体"/>
                <w:color w:val="000000"/>
                <w:kern w:val="0"/>
                <w:szCs w:val="21"/>
              </w:rPr>
              <w:t>2</w:t>
            </w:r>
            <w:r>
              <w:rPr>
                <w:rFonts w:hint="eastAsia" w:ascii="宋体" w:hAnsi="宋体" w:cs="宋体"/>
                <w:color w:val="000000"/>
                <w:kern w:val="0"/>
                <w:szCs w:val="21"/>
              </w:rPr>
              <w:t>分；产品临床安全性能差得0分。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46"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11</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耗材性能评价</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10</w:t>
            </w:r>
          </w:p>
        </w:tc>
      </w:tr>
      <w:tr>
        <w:tblPrEx>
          <w:tblCellMar>
            <w:top w:w="0" w:type="dxa"/>
            <w:left w:w="108" w:type="dxa"/>
            <w:bottom w:w="0" w:type="dxa"/>
            <w:right w:w="108" w:type="dxa"/>
          </w:tblCellMar>
        </w:tblPrEx>
        <w:trPr>
          <w:trHeight w:val="246"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Times New Roman" w:hAnsi="Times New Roman"/>
                <w:kern w:val="0"/>
                <w:szCs w:val="21"/>
              </w:rPr>
              <w:t>1</w:t>
            </w:r>
            <w:r>
              <w:rPr>
                <w:rFonts w:ascii="Times New Roman" w:hAnsi="Times New Roman"/>
                <w:kern w:val="0"/>
                <w:szCs w:val="21"/>
              </w:rPr>
              <w:t>2</w:t>
            </w:r>
          </w:p>
        </w:tc>
        <w:tc>
          <w:tcPr>
            <w:tcW w:w="182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配套设备性能评价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szCs w:val="21"/>
              </w:rPr>
              <w:t>对配套设备技术指标和功能的先进性、实用性进行评价，评价优得</w:t>
            </w:r>
            <w:r>
              <w:rPr>
                <w:szCs w:val="21"/>
              </w:rPr>
              <w:t>8-10</w:t>
            </w:r>
            <w:r>
              <w:rPr>
                <w:rFonts w:hint="eastAsia"/>
                <w:szCs w:val="21"/>
              </w:rPr>
              <w:t>分，评价良得5</w:t>
            </w:r>
            <w:r>
              <w:rPr>
                <w:szCs w:val="21"/>
              </w:rPr>
              <w:t>-7</w:t>
            </w:r>
            <w:r>
              <w:rPr>
                <w:rFonts w:hint="eastAsia"/>
                <w:szCs w:val="21"/>
              </w:rPr>
              <w:t>分，评价一般得</w:t>
            </w:r>
            <w:r>
              <w:rPr>
                <w:szCs w:val="21"/>
              </w:rPr>
              <w:t>1-4</w:t>
            </w:r>
            <w:r>
              <w:rPr>
                <w:rFonts w:hint="eastAsia"/>
                <w:szCs w:val="21"/>
              </w:rPr>
              <w:t>分，评价差</w:t>
            </w:r>
            <w:r>
              <w:rPr>
                <w:szCs w:val="21"/>
              </w:rPr>
              <w:t>0</w:t>
            </w:r>
            <w:r>
              <w:rPr>
                <w:rFonts w:hint="eastAsia"/>
                <w:szCs w:val="21"/>
              </w:rPr>
              <w:t>分</w:t>
            </w:r>
          </w:p>
        </w:tc>
        <w:tc>
          <w:tcPr>
            <w:tcW w:w="88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1</w:t>
            </w:r>
            <w:r>
              <w:rPr>
                <w:rFonts w:ascii="Times New Roman" w:hAnsi="Times New Roman"/>
                <w:color w:val="000000"/>
                <w:kern w:val="0"/>
                <w:szCs w:val="21"/>
              </w:rPr>
              <w:t>0</w:t>
            </w:r>
          </w:p>
        </w:tc>
      </w:tr>
    </w:tbl>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pPr>
        <w:widowControl/>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pStyle w:val="9"/>
        <w:spacing w:before="0" w:beforeAutospacing="0" w:after="0" w:afterAutospacing="0" w:line="480" w:lineRule="auto"/>
        <w:rPr>
          <w:rFonts w:cs="宋体"/>
          <w:szCs w:val="21"/>
        </w:rPr>
      </w:pPr>
      <w:r>
        <w:rPr>
          <w:rFonts w:hint="eastAsia" w:cs="宋体"/>
          <w:szCs w:val="21"/>
        </w:rPr>
        <w:t>法定代表人或授权代表（签字或盖章）：</w:t>
      </w:r>
    </w:p>
    <w:p>
      <w:pPr>
        <w:spacing w:line="300" w:lineRule="auto"/>
        <w:rPr>
          <w:rFonts w:ascii="Times New Roman" w:hAnsi="Times New Roman"/>
          <w:spacing w:val="20"/>
          <w:sz w:val="24"/>
          <w:u w:val="single"/>
        </w:rPr>
      </w:pP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p>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317C"/>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B69F3"/>
    <w:rsid w:val="006C09C4"/>
    <w:rsid w:val="006D102A"/>
    <w:rsid w:val="006D251C"/>
    <w:rsid w:val="006D30C9"/>
    <w:rsid w:val="006D32F5"/>
    <w:rsid w:val="006D45B5"/>
    <w:rsid w:val="006E3CB2"/>
    <w:rsid w:val="006E4B2A"/>
    <w:rsid w:val="006F6F88"/>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30874"/>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D6B57"/>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5EDD2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uiPriority w:val="0"/>
    <w:rPr>
      <w:sz w:val="18"/>
      <w:szCs w:val="18"/>
    </w:rPr>
  </w:style>
  <w:style w:type="character" w:customStyle="1" w:styleId="20">
    <w:name w:val="批注框文本 Char"/>
    <w:basedOn w:val="12"/>
    <w:link w:val="6"/>
    <w:semiHidden/>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locked/>
    <w:uiPriority w:val="0"/>
    <w:rPr>
      <w:rFonts w:ascii="宋体" w:hAnsi="Courier New" w:eastAsia="Times New Roman"/>
      <w:sz w:val="24"/>
      <w:szCs w:val="24"/>
    </w:rPr>
  </w:style>
  <w:style w:type="character" w:customStyle="1" w:styleId="28">
    <w:name w:val="纯文本 Char1"/>
    <w:basedOn w:val="12"/>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uiPriority w:val="0"/>
    <w:rPr>
      <w:rFonts w:ascii="Calibri" w:hAnsi="Calibri" w:eastAsia="宋体" w:cs="Times New Roman"/>
      <w:bCs w:val="0"/>
      <w:sz w:val="24"/>
      <w:szCs w:val="32"/>
    </w:rPr>
  </w:style>
  <w:style w:type="character" w:customStyle="1" w:styleId="31">
    <w:name w:val="标题 3 Char"/>
    <w:basedOn w:val="12"/>
    <w:link w:val="4"/>
    <w:semiHidden/>
    <w:uiPriority w:val="9"/>
    <w:rPr>
      <w:rFonts w:ascii="Calibri" w:hAnsi="Calibri" w:eastAsia="宋体" w:cs="Times New Roman"/>
      <w:b/>
      <w:bCs/>
      <w:sz w:val="32"/>
      <w:szCs w:val="32"/>
    </w:rPr>
  </w:style>
  <w:style w:type="character" w:customStyle="1" w:styleId="32">
    <w:name w:val="普通(网站) Char"/>
    <w:link w:val="9"/>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3C90A-E878-4E68-B762-E534D7B2A73D}">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23</Pages>
  <Words>1091</Words>
  <Characters>6220</Characters>
  <Lines>51</Lines>
  <Paragraphs>14</Paragraphs>
  <TotalTime>0</TotalTime>
  <ScaleCrop>false</ScaleCrop>
  <LinksUpToDate>false</LinksUpToDate>
  <CharactersWithSpaces>7297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2023-10-16T09:17:00Z</dcterms:created>
  <dc:creator>Windows 用户</dc:creator>
  <cp:lastModifiedBy>微信用户</cp:lastModifiedBy>
  <cp:lastPrinted>2020-04-29T05:22:00Z</cp:lastPrinted>
  <dcterms:modified xsi:type="dcterms:W3CDTF">2023-10-30T01:25:54Z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F4D29770788644C4B82D2CBF333188F6_12</vt:lpwstr>
  </property>
</Properties>
</file>