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jc w:val="left"/>
        <w:rPr>
          <w:rFonts w:ascii="黑体" w:hAnsi="黑体" w:eastAsia="黑体"/>
          <w:sz w:val="32"/>
          <w:szCs w:val="32"/>
        </w:rPr>
      </w:pPr>
      <w:r>
        <w:rPr>
          <w:rFonts w:hint="eastAsia" w:ascii="黑体" w:hAnsi="黑体" w:eastAsia="黑体"/>
          <w:sz w:val="32"/>
          <w:szCs w:val="32"/>
        </w:rPr>
        <w:t>项目名称：体外诊断试剂一批</w:t>
      </w:r>
    </w:p>
    <w:p>
      <w:pPr>
        <w:spacing w:before="312" w:beforeLines="100" w:line="240" w:lineRule="atLeast"/>
        <w:ind w:right="-108" w:firstLine="1920" w:firstLineChars="6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3012</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3</w:t>
      </w:r>
      <w:r>
        <w:rPr>
          <w:rFonts w:ascii="黑体" w:hAnsi="黑体" w:eastAsia="黑体"/>
          <w:sz w:val="32"/>
          <w:szCs w:val="32"/>
        </w:rPr>
        <w:t>年</w:t>
      </w:r>
      <w:r>
        <w:rPr>
          <w:rFonts w:hint="eastAsia" w:ascii="黑体" w:hAnsi="黑体" w:eastAsia="黑体"/>
          <w:sz w:val="32"/>
          <w:szCs w:val="32"/>
          <w:lang w:val="en-US" w:eastAsia="zh-CN"/>
        </w:rPr>
        <w:t>11</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3012</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510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1771"/>
        <w:gridCol w:w="4757"/>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标项号</w:t>
            </w:r>
          </w:p>
        </w:tc>
        <w:tc>
          <w:tcPr>
            <w:tcW w:w="1017" w:type="pct"/>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2732" w:type="pct"/>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c>
          <w:tcPr>
            <w:tcW w:w="680" w:type="pct"/>
          </w:tcPr>
          <w:p>
            <w:pPr>
              <w:spacing w:line="360" w:lineRule="auto"/>
              <w:rPr>
                <w:rFonts w:hint="default" w:ascii="宋体" w:hAnsi="宋体" w:eastAsia="宋体"/>
                <w:color w:val="000000" w:themeColor="text1"/>
                <w:kern w:val="0"/>
                <w:sz w:val="24"/>
                <w:szCs w:val="20"/>
                <w:lang w:val="en-US" w:eastAsia="zh-CN"/>
              </w:rPr>
            </w:pPr>
            <w:r>
              <w:rPr>
                <w:rFonts w:hint="eastAsia" w:ascii="宋体" w:hAnsi="宋体"/>
                <w:color w:val="000000" w:themeColor="text1"/>
                <w:kern w:val="0"/>
                <w:sz w:val="24"/>
                <w:szCs w:val="20"/>
                <w:lang w:val="en-US" w:eastAsia="zh-CN"/>
              </w:rPr>
              <w:t>使用科室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ascii="宋体" w:hAnsi="宋体"/>
                <w:color w:val="000000" w:themeColor="text1"/>
                <w:kern w:val="0"/>
                <w:sz w:val="24"/>
                <w:szCs w:val="20"/>
              </w:rPr>
            </w:pPr>
            <w:bookmarkStart w:id="1" w:name="_GoBack" w:colFirst="0" w:colLast="3"/>
            <w:r>
              <w:rPr>
                <w:rFonts w:hint="eastAsia" w:ascii="宋体" w:hAnsi="宋体" w:cs="宋体"/>
                <w:i w:val="0"/>
                <w:iCs w:val="0"/>
                <w:color w:val="000000"/>
                <w:kern w:val="0"/>
                <w:sz w:val="24"/>
                <w:szCs w:val="24"/>
                <w:u w:val="none"/>
                <w:lang w:val="en-US" w:eastAsia="zh-CN" w:bidi="ar"/>
              </w:rPr>
              <w:t>1</w:t>
            </w:r>
          </w:p>
        </w:tc>
        <w:tc>
          <w:tcPr>
            <w:tcW w:w="1017" w:type="pct"/>
            <w:vAlign w:val="center"/>
          </w:tcPr>
          <w:p>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2"/>
                <w:szCs w:val="22"/>
                <w:u w:val="none"/>
                <w:lang w:val="en-US" w:eastAsia="zh-CN" w:bidi="ar"/>
              </w:rPr>
              <w:t>肠道病毒核酸检测试剂</w:t>
            </w:r>
          </w:p>
        </w:tc>
        <w:tc>
          <w:tcPr>
            <w:tcW w:w="2732" w:type="pct"/>
            <w:vAlign w:val="center"/>
          </w:tcPr>
          <w:p>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2"/>
                <w:szCs w:val="22"/>
                <w:u w:val="none"/>
                <w:lang w:val="en-US" w:eastAsia="zh-CN" w:bidi="ar"/>
              </w:rPr>
              <w:t>用于对手足口病常见感染肠道病毒类型的检测。需提供肠道病毒通用型、柯萨奇病毒A16型、肠道病毒71型核酸检测试剂。要求主流品牌，最低检出线≤500copies，适配现有pcr扩增仪</w:t>
            </w:r>
          </w:p>
        </w:tc>
        <w:tc>
          <w:tcPr>
            <w:tcW w:w="680" w:type="pct"/>
            <w:vMerge w:val="restart"/>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检验科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ascii="宋体" w:hAnsi="宋体"/>
                <w:color w:val="000000" w:themeColor="text1"/>
                <w:kern w:val="0"/>
                <w:sz w:val="24"/>
                <w:szCs w:val="20"/>
              </w:rPr>
            </w:pPr>
            <w:r>
              <w:rPr>
                <w:rFonts w:hint="eastAsia" w:ascii="宋体" w:hAnsi="宋体" w:cs="宋体"/>
                <w:i w:val="0"/>
                <w:iCs w:val="0"/>
                <w:color w:val="000000"/>
                <w:kern w:val="0"/>
                <w:sz w:val="24"/>
                <w:szCs w:val="24"/>
                <w:u w:val="none"/>
                <w:lang w:val="en-US" w:eastAsia="zh-CN" w:bidi="ar"/>
              </w:rPr>
              <w:t>2</w:t>
            </w:r>
          </w:p>
        </w:tc>
        <w:tc>
          <w:tcPr>
            <w:tcW w:w="1017" w:type="pct"/>
            <w:vAlign w:val="center"/>
          </w:tcPr>
          <w:p>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2"/>
                <w:szCs w:val="22"/>
                <w:u w:val="none"/>
                <w:lang w:val="en-US" w:eastAsia="zh-CN" w:bidi="ar"/>
              </w:rPr>
              <w:t>诺如病毒核酸检测（荧光PCR法）</w:t>
            </w:r>
          </w:p>
        </w:tc>
        <w:tc>
          <w:tcPr>
            <w:tcW w:w="2732" w:type="pct"/>
            <w:vAlign w:val="center"/>
          </w:tcPr>
          <w:p>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2"/>
                <w:szCs w:val="22"/>
                <w:u w:val="none"/>
                <w:lang w:val="en-US" w:eastAsia="zh-CN" w:bidi="ar"/>
              </w:rPr>
              <w:t>用于对于诺如病毒感染病原体的检测，要求主流品牌，最低检出线≤500copies，适配现有pcr扩增仪</w:t>
            </w:r>
          </w:p>
        </w:tc>
        <w:tc>
          <w:tcPr>
            <w:tcW w:w="680" w:type="pct"/>
            <w:vMerge w:val="continue"/>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1017"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嗜肺军团菌核酸检测试剂盒（荧光PCR法）</w:t>
            </w:r>
          </w:p>
        </w:tc>
        <w:tc>
          <w:tcPr>
            <w:tcW w:w="2732"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用于嗜肺军团菌核酸的核酸检测，要求主流品牌，最低检出线≤1000copies，适配现有pcr扩增仪</w:t>
            </w:r>
          </w:p>
        </w:tc>
        <w:tc>
          <w:tcPr>
            <w:tcW w:w="680" w:type="pct"/>
            <w:vMerge w:val="continue"/>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1017"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HPV核酸检测</w:t>
            </w:r>
          </w:p>
        </w:tc>
        <w:tc>
          <w:tcPr>
            <w:tcW w:w="2732"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用于HPV病毒的核酸检测，要求主流品牌，对hpv病毒全分型，至少型别≥21；最低检出线≤1000copies，适配现有pcr扩增仪</w:t>
            </w:r>
          </w:p>
        </w:tc>
        <w:tc>
          <w:tcPr>
            <w:tcW w:w="680" w:type="pct"/>
            <w:vMerge w:val="continue"/>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w:t>
            </w:r>
          </w:p>
        </w:tc>
        <w:tc>
          <w:tcPr>
            <w:tcW w:w="1017"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甲乙流核酸快速检测</w:t>
            </w:r>
          </w:p>
        </w:tc>
        <w:tc>
          <w:tcPr>
            <w:tcW w:w="2732"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用于甲乙流病毒的快速核酸检测，满足公共卫生需求。要求主流品牌，最低检出线≤1000copies，检测时间在1小时内，实现核酸的快速检测；密闭检测，可在非PCR室内检测。</w:t>
            </w:r>
          </w:p>
        </w:tc>
        <w:tc>
          <w:tcPr>
            <w:tcW w:w="680" w:type="pct"/>
            <w:vMerge w:val="continue"/>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w:t>
            </w:r>
          </w:p>
        </w:tc>
        <w:tc>
          <w:tcPr>
            <w:tcW w:w="1017"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肌钙蛋白I检测（灵隐院区）</w:t>
            </w:r>
          </w:p>
        </w:tc>
        <w:tc>
          <w:tcPr>
            <w:tcW w:w="2732"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用于血清肌钙蛋白I含量检测</w:t>
            </w:r>
          </w:p>
        </w:tc>
        <w:tc>
          <w:tcPr>
            <w:tcW w:w="680" w:type="pct"/>
            <w:vMerge w:val="continue"/>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w:t>
            </w:r>
          </w:p>
        </w:tc>
        <w:tc>
          <w:tcPr>
            <w:tcW w:w="1017"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B型纳尿肽检测（灵隐院区）</w:t>
            </w:r>
          </w:p>
        </w:tc>
        <w:tc>
          <w:tcPr>
            <w:tcW w:w="2732"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用于血浆B型纳尿肽含量检测</w:t>
            </w:r>
          </w:p>
        </w:tc>
        <w:tc>
          <w:tcPr>
            <w:tcW w:w="680" w:type="pct"/>
            <w:vMerge w:val="continue"/>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bookmarkEnd w:id="1"/>
    </w:tbl>
    <w:p>
      <w:pPr>
        <w:spacing w:line="360" w:lineRule="auto"/>
        <w:ind w:left="480"/>
        <w:rPr>
          <w:rFonts w:ascii="宋体" w:hAnsi="宋体"/>
          <w:color w:val="000000" w:themeColor="text1"/>
          <w:sz w:val="24"/>
        </w:rPr>
      </w:pP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谈判文件发放：医院官网下载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pPr>
        <w:spacing w:line="360" w:lineRule="auto"/>
        <w:ind w:left="48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3</w:t>
      </w:r>
      <w:r>
        <w:rPr>
          <w:rFonts w:hint="eastAsia" w:ascii="宋体" w:hAnsi="宋体"/>
          <w:bCs/>
          <w:color w:val="000000" w:themeColor="text1"/>
          <w:sz w:val="24"/>
        </w:rPr>
        <w:t>年</w:t>
      </w:r>
      <w:r>
        <w:rPr>
          <w:rFonts w:hint="eastAsia" w:ascii="宋体" w:hAnsi="宋体"/>
          <w:bCs/>
          <w:color w:val="000000" w:themeColor="text1"/>
          <w:sz w:val="24"/>
          <w:lang w:val="en-US" w:eastAsia="zh-CN"/>
        </w:rPr>
        <w:t>11</w:t>
      </w:r>
      <w:r>
        <w:rPr>
          <w:rFonts w:hint="eastAsia" w:ascii="宋体" w:hAnsi="宋体"/>
          <w:bCs/>
          <w:color w:val="000000" w:themeColor="text1"/>
          <w:sz w:val="24"/>
        </w:rPr>
        <w:t>月</w:t>
      </w:r>
      <w:r>
        <w:rPr>
          <w:rFonts w:hint="eastAsia" w:ascii="宋体" w:hAnsi="宋体"/>
          <w:bCs/>
          <w:color w:val="000000" w:themeColor="text1"/>
          <w:sz w:val="24"/>
          <w:lang w:val="en-US" w:eastAsia="zh-CN"/>
        </w:rPr>
        <w:t>29</w:t>
      </w:r>
      <w:r>
        <w:rPr>
          <w:rFonts w:hint="eastAsia" w:ascii="宋体" w:hAnsi="宋体"/>
          <w:bCs/>
          <w:color w:val="000000" w:themeColor="text1"/>
          <w:sz w:val="24"/>
        </w:rPr>
        <w:t xml:space="preserve">日 </w:t>
      </w:r>
      <w:r>
        <w:rPr>
          <w:rFonts w:ascii="宋体" w:hAnsi="宋体"/>
          <w:bCs/>
          <w:color w:val="000000" w:themeColor="text1"/>
          <w:sz w:val="24"/>
        </w:rPr>
        <w:t>17:00前</w:t>
      </w:r>
    </w:p>
    <w:p>
      <w:pPr>
        <w:spacing w:line="360" w:lineRule="auto"/>
        <w:ind w:left="480"/>
        <w:rPr>
          <w:rFonts w:ascii="宋体" w:hAnsi="宋体"/>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rPr>
        <w:t>5</w:t>
      </w:r>
      <w:r>
        <w:rPr>
          <w:sz w:val="24"/>
          <w:szCs w:val="24"/>
        </w:rPr>
        <w:t>16房间</w:t>
      </w:r>
      <w:r>
        <w:rPr>
          <w:rFonts w:hint="eastAsia"/>
          <w:sz w:val="24"/>
          <w:szCs w:val="24"/>
        </w:rPr>
        <w:t>。</w:t>
      </w:r>
      <w:r>
        <w:rPr>
          <w:rFonts w:ascii="宋体" w:hAnsi="宋体"/>
          <w:bCs/>
          <w:color w:val="000000" w:themeColor="text1"/>
          <w:sz w:val="24"/>
        </w:rPr>
        <w:t>其余响应文件（副本）密封于开标日送至。</w:t>
      </w:r>
    </w:p>
    <w:p>
      <w:pPr>
        <w:spacing w:line="360" w:lineRule="auto"/>
        <w:ind w:left="480"/>
        <w:rPr>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p>
    <w:p>
      <w:pPr>
        <w:spacing w:line="360" w:lineRule="auto"/>
        <w:rPr>
          <w:sz w:val="24"/>
          <w:szCs w:val="24"/>
        </w:rPr>
      </w:pPr>
      <w:r>
        <w:rPr>
          <w:rFonts w:ascii="宋体" w:hAnsi="宋体"/>
          <w:sz w:val="24"/>
        </w:rPr>
        <w:t>七</w:t>
      </w:r>
      <w:r>
        <w:rPr>
          <w:sz w:val="24"/>
          <w:szCs w:val="24"/>
        </w:rPr>
        <w:t>、</w:t>
      </w:r>
      <w:r>
        <w:rPr>
          <w:rFonts w:hint="eastAsia"/>
          <w:sz w:val="24"/>
          <w:szCs w:val="24"/>
        </w:rPr>
        <w:t>谈判</w:t>
      </w:r>
      <w:r>
        <w:rPr>
          <w:sz w:val="24"/>
          <w:szCs w:val="24"/>
        </w:rPr>
        <w:t>时间和地点：</w:t>
      </w:r>
    </w:p>
    <w:p>
      <w:pPr>
        <w:spacing w:line="360" w:lineRule="auto"/>
        <w:ind w:left="480"/>
        <w:rPr>
          <w:rFonts w:ascii="宋体" w:hAnsi="宋体"/>
          <w:sz w:val="24"/>
        </w:rPr>
      </w:pPr>
      <w:r>
        <w:rPr>
          <w:rFonts w:hint="eastAsia" w:ascii="宋体" w:hAnsi="宋体"/>
          <w:sz w:val="24"/>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w:t>
      </w:r>
      <w:r>
        <w:rPr>
          <w:rFonts w:hint="eastAsia"/>
          <w:sz w:val="24"/>
          <w:szCs w:val="24"/>
        </w:rPr>
        <w:t>5</w:t>
      </w:r>
      <w:r>
        <w:rPr>
          <w:sz w:val="24"/>
          <w:szCs w:val="24"/>
        </w:rPr>
        <w:t>16房间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 xml:space="preserve">联系人：褚老师 </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color w:val="000000"/>
          <w:sz w:val="24"/>
        </w:rPr>
        <w:t xml:space="preserve">。 </w:t>
      </w:r>
    </w:p>
    <w:p>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配套设备要求（若有）</w:t>
      </w:r>
    </w:p>
    <w:p>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供应商提供并负责合作期限内的设备保修，提供所有的配件、易损品和消耗品。设备配件使用原装配套，更换周期按照说明书使用期限。</w:t>
      </w:r>
    </w:p>
    <w:p>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如设备在日常运行工作中出现故障，影响检验报告签发，由供方负责解决；如72小时不能修复，需无偿提供同档次备机供医院使用，或负责外送。</w:t>
      </w:r>
    </w:p>
    <w:p>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需冷藏冷冻运输的试剂必须按照冷链要求进行配送，并提供全程温度记录单。</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投标试剂名称、规格必须与注册证和外包装名称、规格一致。相关校准品和质控品也需有对应的医疗器械注册证。</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医院只采购检测主试剂，其他所有相关试剂、耗材由供应商提供。试剂报价包含校准品、质控品，以及完成一个测试所需的主试剂和所有辅助的试剂和耗材，和设备维护保养所需的所有耗材。</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FF0000"/>
          <w:sz w:val="24"/>
          <w:szCs w:val="24"/>
          <w:lang w:val="zh-CN"/>
        </w:rPr>
        <w:t>科室提供其他专业要求</w:t>
      </w:r>
    </w:p>
    <w:p>
      <w:pPr>
        <w:tabs>
          <w:tab w:val="left" w:pos="540"/>
        </w:tabs>
        <w:spacing w:line="360" w:lineRule="auto"/>
        <w:rPr>
          <w:rFonts w:ascii="宋体" w:hAnsi="宋体"/>
          <w:color w:val="000000"/>
          <w:sz w:val="24"/>
        </w:rPr>
      </w:pP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《体外诊断试剂及耗材每人份报价明细表》</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重点用户（浙江省三甲医院）名单（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我方具有履行本项目合同所必需的设备和专业技术能力；</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4"/>
          <w:szCs w:val="21"/>
        </w:rPr>
      </w:pPr>
      <w:r>
        <w:rPr>
          <w:rFonts w:hint="eastAsia" w:ascii="宋体" w:hAnsi="宋体" w:eastAsia="宋体" w:cs="宋体"/>
          <w:b w:val="0"/>
          <w:sz w:val="24"/>
          <w:szCs w:val="21"/>
        </w:rPr>
        <w:t xml:space="preserve">日期：  年  月  日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cs="宋体"/>
                <w:sz w:val="24"/>
                <w:szCs w:val="21"/>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4"/>
        </w:rPr>
      </w:pPr>
      <w:r>
        <w:rPr>
          <w:rFonts w:hint="eastAsia" w:ascii="宋体" w:hAnsi="宋体" w:cs="宋体"/>
          <w:sz w:val="24"/>
          <w:szCs w:val="24"/>
        </w:rPr>
        <w:t xml:space="preserve">供应商：（盖公章）       </w:t>
      </w:r>
    </w:p>
    <w:p>
      <w:pPr>
        <w:spacing w:line="360" w:lineRule="auto"/>
        <w:ind w:right="960"/>
        <w:jc w:val="left"/>
        <w:rPr>
          <w:rFonts w:ascii="宋体" w:hAnsi="宋体" w:cs="宋体"/>
          <w:sz w:val="24"/>
          <w:szCs w:val="24"/>
        </w:rPr>
      </w:pPr>
    </w:p>
    <w:p>
      <w:pPr>
        <w:autoSpaceDE w:val="0"/>
        <w:autoSpaceDN w:val="0"/>
        <w:adjustRightInd w:val="0"/>
        <w:ind w:right="480"/>
        <w:jc w:val="left"/>
        <w:rPr>
          <w:rFonts w:ascii="宋体" w:hAnsi="宋体" w:cs="宋体"/>
          <w:sz w:val="24"/>
          <w:szCs w:val="24"/>
        </w:rPr>
      </w:pPr>
      <w:r>
        <w:rPr>
          <w:rFonts w:hint="eastAsia" w:cs="宋体"/>
          <w:sz w:val="24"/>
          <w:szCs w:val="24"/>
        </w:rPr>
        <w:t>法定代表人或授权代表（签字或盖章）</w:t>
      </w:r>
      <w:r>
        <w:rPr>
          <w:rFonts w:hint="eastAsia" w:ascii="宋体" w:hAnsi="宋体" w:cs="宋体"/>
          <w:sz w:val="24"/>
          <w:szCs w:val="24"/>
        </w:rPr>
        <w:t xml:space="preserve">： </w:t>
      </w:r>
    </w:p>
    <w:p>
      <w:pPr>
        <w:autoSpaceDE w:val="0"/>
        <w:autoSpaceDN w:val="0"/>
        <w:adjustRightInd w:val="0"/>
        <w:ind w:right="480"/>
        <w:jc w:val="left"/>
        <w:rPr>
          <w:rFonts w:hint="eastAsia" w:ascii="宋体" w:hAnsi="宋体" w:cs="宋体"/>
          <w:sz w:val="24"/>
          <w:szCs w:val="24"/>
        </w:rPr>
      </w:pPr>
    </w:p>
    <w:p>
      <w:pPr>
        <w:spacing w:line="360" w:lineRule="atLeast"/>
        <w:jc w:val="left"/>
        <w:rPr>
          <w:rFonts w:ascii="宋体" w:hAnsi="宋体" w:cs="宋体"/>
          <w:sz w:val="24"/>
          <w:szCs w:val="24"/>
        </w:rPr>
      </w:pPr>
      <w:r>
        <w:rPr>
          <w:rFonts w:hint="eastAsia" w:ascii="宋体" w:hAnsi="宋体" w:cs="宋体"/>
          <w:sz w:val="24"/>
          <w:szCs w:val="24"/>
        </w:rPr>
        <w:t xml:space="preserve">日期： </w:t>
      </w:r>
      <w:r>
        <w:rPr>
          <w:rFonts w:ascii="宋体" w:hAnsi="宋体" w:cs="宋体"/>
          <w:sz w:val="24"/>
          <w:szCs w:val="24"/>
        </w:rPr>
        <w:t xml:space="preserve">   </w:t>
      </w:r>
      <w:r>
        <w:rPr>
          <w:rFonts w:hint="eastAsia" w:ascii="宋体" w:hAnsi="宋体" w:cs="宋体"/>
          <w:sz w:val="24"/>
          <w:szCs w:val="24"/>
        </w:rPr>
        <w:t>年    月     日</w:t>
      </w: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本公司提供完善的销售供应和售后服务保障体系，接需方电话通知后24小时内到货（特殊情况另议），并负责货物搬运入库；加急情况下随叫随送。</w:t>
      </w:r>
    </w:p>
    <w:p>
      <w:pPr>
        <w:numPr>
          <w:ilvl w:val="0"/>
          <w:numId w:val="10"/>
        </w:numPr>
        <w:spacing w:line="360" w:lineRule="auto"/>
        <w:rPr>
          <w:sz w:val="24"/>
          <w:szCs w:val="24"/>
        </w:rPr>
      </w:pPr>
      <w:r>
        <w:rPr>
          <w:rFonts w:hint="eastAsia"/>
          <w:sz w:val="24"/>
          <w:szCs w:val="24"/>
        </w:rPr>
        <w:t>本公司若提供体外诊断试剂将全程无缝冷链运输，或采用具有冷链运输资质的物流公司送货，保证从制造商到医院的运输全过程中试剂温度始终符合要求，并能提供实时温度监测记录。若无法达到上述要求，医院可做退货处理，并由本公司承担一切责任。</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rFonts w:hint="eastAsia"/>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近三年产品用户单位</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ordWrap w:val="0"/>
        <w:spacing w:line="480" w:lineRule="auto"/>
        <w:ind w:right="480"/>
        <w:jc w:val="right"/>
        <w:rPr>
          <w:sz w:val="24"/>
          <w:szCs w:val="24"/>
        </w:rPr>
        <w:sectPr>
          <w:headerReference r:id="rId3" w:type="default"/>
          <w:pgSz w:w="11906" w:h="16838"/>
          <w:pgMar w:top="1440" w:right="1800" w:bottom="1440" w:left="1800" w:header="851" w:footer="992" w:gutter="0"/>
          <w:cols w:space="425" w:num="1"/>
          <w:docGrid w:type="lines" w:linePitch="312" w:charSpace="0"/>
        </w:sectPr>
      </w:pPr>
    </w:p>
    <w:p>
      <w:pPr>
        <w:widowControl/>
        <w:jc w:val="left"/>
        <w:rPr>
          <w:rFonts w:ascii="宋体" w:hAnsi="宋体"/>
          <w:b/>
          <w:bCs/>
          <w:sz w:val="28"/>
          <w:szCs w:val="28"/>
        </w:rPr>
      </w:pPr>
      <w:r>
        <w:rPr>
          <w:rFonts w:hint="eastAsia" w:ascii="宋体" w:hAnsi="宋体"/>
          <w:b/>
          <w:bCs/>
          <w:sz w:val="28"/>
          <w:szCs w:val="28"/>
        </w:rPr>
        <w:t>附件六</w:t>
      </w:r>
    </w:p>
    <w:p>
      <w:pPr>
        <w:spacing w:line="300" w:lineRule="auto"/>
        <w:jc w:val="center"/>
        <w:rPr>
          <w:rFonts w:ascii="宋体" w:hAnsi="宋体"/>
          <w:b/>
          <w:color w:val="000000"/>
          <w:sz w:val="40"/>
          <w:szCs w:val="28"/>
        </w:rPr>
      </w:pPr>
      <w:r>
        <w:rPr>
          <w:rFonts w:hint="eastAsia" w:ascii="宋体" w:hAnsi="宋体"/>
          <w:b/>
          <w:color w:val="000000"/>
          <w:sz w:val="40"/>
          <w:szCs w:val="28"/>
        </w:rPr>
        <w:t>配套设备报价表</w:t>
      </w:r>
    </w:p>
    <w:tbl>
      <w:tblPr>
        <w:tblStyle w:val="10"/>
        <w:tblW w:w="13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594"/>
        <w:gridCol w:w="2509"/>
        <w:gridCol w:w="992"/>
        <w:gridCol w:w="1134"/>
        <w:gridCol w:w="1843"/>
        <w:gridCol w:w="1121"/>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05"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序号</w:t>
            </w:r>
          </w:p>
        </w:tc>
        <w:tc>
          <w:tcPr>
            <w:tcW w:w="259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设备名称</w:t>
            </w:r>
          </w:p>
        </w:tc>
        <w:tc>
          <w:tcPr>
            <w:tcW w:w="2509"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规格型号</w:t>
            </w:r>
          </w:p>
        </w:tc>
        <w:tc>
          <w:tcPr>
            <w:tcW w:w="992"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品牌</w:t>
            </w:r>
          </w:p>
        </w:tc>
        <w:tc>
          <w:tcPr>
            <w:tcW w:w="113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产地</w:t>
            </w:r>
          </w:p>
        </w:tc>
        <w:tc>
          <w:tcPr>
            <w:tcW w:w="1843"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单价（元）</w:t>
            </w:r>
          </w:p>
        </w:tc>
        <w:tc>
          <w:tcPr>
            <w:tcW w:w="1121"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数量</w:t>
            </w:r>
          </w:p>
        </w:tc>
        <w:tc>
          <w:tcPr>
            <w:tcW w:w="193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132" w:type="dxa"/>
            <w:gridSpan w:val="8"/>
            <w:shd w:val="clear" w:color="auto" w:fill="auto"/>
            <w:vAlign w:val="center"/>
          </w:tcPr>
          <w:p>
            <w:pPr>
              <w:snapToGrid w:val="0"/>
              <w:spacing w:before="50" w:after="50" w:line="300" w:lineRule="auto"/>
              <w:rPr>
                <w:rFonts w:ascii="宋体" w:hAnsi="宋体" w:cs="仿宋"/>
                <w:b/>
                <w:color w:val="000000"/>
                <w:sz w:val="28"/>
                <w:szCs w:val="28"/>
                <w:u w:val="single"/>
              </w:rPr>
            </w:pPr>
            <w:r>
              <w:rPr>
                <w:rFonts w:hint="eastAsia" w:ascii="宋体" w:hAnsi="宋体" w:cs="仿宋"/>
                <w:b/>
                <w:color w:val="000000"/>
                <w:sz w:val="28"/>
                <w:szCs w:val="28"/>
              </w:rPr>
              <w:t>合计金额大写：                                             小写： ￥</w:t>
            </w:r>
            <w:r>
              <w:rPr>
                <w:rFonts w:hint="eastAsia" w:ascii="宋体" w:hAnsi="宋体" w:cs="仿宋"/>
                <w:b/>
                <w:color w:val="000000"/>
                <w:sz w:val="28"/>
                <w:szCs w:val="28"/>
                <w:u w:val="single"/>
              </w:rPr>
              <w:t xml:space="preserve">            </w:t>
            </w:r>
          </w:p>
        </w:tc>
      </w:tr>
    </w:tbl>
    <w:p>
      <w:pPr>
        <w:spacing w:line="300" w:lineRule="auto"/>
        <w:jc w:val="center"/>
        <w:rPr>
          <w:rFonts w:ascii="宋体" w:hAnsi="宋体"/>
          <w:b/>
          <w:color w:val="000000"/>
          <w:sz w:val="32"/>
          <w:szCs w:val="28"/>
        </w:rPr>
      </w:pPr>
    </w:p>
    <w:p>
      <w:pPr>
        <w:spacing w:line="300" w:lineRule="auto"/>
        <w:ind w:firstLine="422" w:firstLineChars="200"/>
        <w:rPr>
          <w:rFonts w:ascii="宋体" w:hAnsi="宋体"/>
          <w:b/>
          <w:color w:val="000000"/>
          <w:szCs w:val="28"/>
        </w:rPr>
      </w:pPr>
      <w:r>
        <w:rPr>
          <w:rFonts w:hint="eastAsia" w:ascii="宋体" w:hAnsi="宋体"/>
          <w:b/>
          <w:color w:val="000000"/>
          <w:szCs w:val="28"/>
        </w:rPr>
        <w:t>注: 1、同时提供对应的医疗器械注册证、厂家三证、生产厂家对供应商的逐级授权书等。</w:t>
      </w:r>
    </w:p>
    <w:p>
      <w:pPr>
        <w:spacing w:line="300" w:lineRule="auto"/>
        <w:ind w:firstLine="843" w:firstLineChars="400"/>
        <w:rPr>
          <w:rFonts w:ascii="宋体" w:hAnsi="宋体"/>
          <w:b/>
          <w:color w:val="FF0000"/>
          <w:szCs w:val="28"/>
        </w:rPr>
      </w:pPr>
      <w:r>
        <w:rPr>
          <w:rFonts w:hint="eastAsia" w:ascii="宋体" w:hAnsi="宋体"/>
          <w:b/>
          <w:color w:val="000000"/>
          <w:szCs w:val="28"/>
        </w:rPr>
        <w:t>2、费用包括项目实施所需的工程费、工时费、服务费、运输费、安装调试费、购买及制作标书费、税费及其他一切费用。</w:t>
      </w:r>
    </w:p>
    <w:p>
      <w:pPr>
        <w:rPr>
          <w:rFonts w:ascii="宋体" w:hAnsi="宋体" w:cs="宋体"/>
          <w:color w:val="000000"/>
          <w:kern w:val="0"/>
          <w:sz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E402827"/>
    <w:multiLevelType w:val="multilevel"/>
    <w:tmpl w:val="4E402827"/>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decimal"/>
      <w:lvlText w:val="%2."/>
      <w:lvlJc w:val="left"/>
      <w:pPr>
        <w:tabs>
          <w:tab w:val="left" w:pos="900"/>
        </w:tabs>
        <w:ind w:left="900" w:hanging="480"/>
      </w:pPr>
      <w:rPr>
        <w:rFonts w:hint="eastAsia"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5"/>
  </w:num>
  <w:num w:numId="5">
    <w:abstractNumId w:val="3"/>
  </w:num>
  <w:num w:numId="6">
    <w:abstractNumId w:val="4"/>
  </w:num>
  <w:num w:numId="7">
    <w:abstractNumId w:val="8"/>
  </w:num>
  <w:num w:numId="8">
    <w:abstractNumId w:val="0"/>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WIxZmRlMjllYTcwNDNkOTA1MDBlOTZiYTE5NGIxOGMifQ=="/>
  </w:docVars>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5270B"/>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B7ADC"/>
    <w:rsid w:val="007C24BD"/>
    <w:rsid w:val="007C76E2"/>
    <w:rsid w:val="007D1C1E"/>
    <w:rsid w:val="007E1470"/>
    <w:rsid w:val="007E4B73"/>
    <w:rsid w:val="007F1C2A"/>
    <w:rsid w:val="007F26D9"/>
    <w:rsid w:val="007F4D7B"/>
    <w:rsid w:val="008036BD"/>
    <w:rsid w:val="00813765"/>
    <w:rsid w:val="0082147E"/>
    <w:rsid w:val="008248D6"/>
    <w:rsid w:val="008360BE"/>
    <w:rsid w:val="00860744"/>
    <w:rsid w:val="00864B73"/>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3CBD"/>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FD0"/>
    <w:rsid w:val="00DF2F03"/>
    <w:rsid w:val="00DF38DE"/>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528"/>
    <w:rsid w:val="00FB4EE8"/>
    <w:rsid w:val="00FB5231"/>
    <w:rsid w:val="00FD36E0"/>
    <w:rsid w:val="00FE1784"/>
    <w:rsid w:val="00FE6C30"/>
    <w:rsid w:val="00FF0683"/>
    <w:rsid w:val="00FF1A5C"/>
    <w:rsid w:val="00FF276A"/>
    <w:rsid w:val="08BC6BC7"/>
    <w:rsid w:val="68AC487A"/>
    <w:rsid w:val="6A2D47D5"/>
    <w:rsid w:val="714C0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5DB67-E0DE-4982-86D1-4F321A9592A7}">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21</Pages>
  <Words>893</Words>
  <Characters>5093</Characters>
  <Lines>42</Lines>
  <Paragraphs>11</Paragraphs>
  <TotalTime>14</TotalTime>
  <ScaleCrop>false</ScaleCrop>
  <LinksUpToDate>false</LinksUpToDate>
  <CharactersWithSpaces>5975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2023-11-22T02:25:00Z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CDC1864FE2AC4D7ABC8FCE76D68930AD_12</vt:lpwstr>
  </property>
</Properties>
</file>