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110"/>
        <w:rPr>
          <w:rFonts w:ascii="宋体" w:hAnsi="宋体"/>
          <w:b/>
          <w:sz w:val="30"/>
          <w:szCs w:val="30"/>
        </w:rPr>
      </w:pPr>
    </w:p>
    <w:p>
      <w:pPr>
        <w:ind w:right="-110"/>
        <w:rPr>
          <w:rFonts w:ascii="宋体" w:hAnsi="宋体"/>
          <w:spacing w:val="40"/>
          <w:sz w:val="52"/>
          <w:szCs w:val="52"/>
        </w:rPr>
      </w:pPr>
    </w:p>
    <w:p>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pPr>
        <w:spacing w:before="312" w:beforeLines="100" w:line="240" w:lineRule="atLeast"/>
        <w:ind w:right="-108"/>
        <w:jc w:val="center"/>
        <w:rPr>
          <w:rFonts w:ascii="黑体" w:hAnsi="黑体" w:eastAsia="黑体"/>
          <w:sz w:val="32"/>
          <w:szCs w:val="32"/>
        </w:rPr>
      </w:pPr>
    </w:p>
    <w:p>
      <w:pPr>
        <w:spacing w:before="312" w:beforeLines="100" w:line="240" w:lineRule="atLeast"/>
        <w:ind w:right="-108" w:firstLine="2240" w:firstLineChars="700"/>
        <w:jc w:val="left"/>
        <w:rPr>
          <w:rFonts w:ascii="黑体" w:hAnsi="黑体" w:eastAsia="黑体"/>
          <w:sz w:val="32"/>
          <w:szCs w:val="32"/>
        </w:rPr>
      </w:pPr>
      <w:r>
        <w:rPr>
          <w:rFonts w:hint="eastAsia" w:ascii="黑体" w:hAnsi="黑体" w:eastAsia="黑体"/>
          <w:sz w:val="32"/>
          <w:szCs w:val="32"/>
        </w:rPr>
        <w:t>项目名称：医用清洗剂一批</w:t>
      </w:r>
    </w:p>
    <w:p>
      <w:pPr>
        <w:spacing w:before="312" w:beforeLines="100" w:line="240" w:lineRule="atLeast"/>
        <w:ind w:right="-108" w:firstLine="2240" w:firstLineChars="700"/>
        <w:jc w:val="left"/>
        <w:rPr>
          <w:rFonts w:ascii="黑体" w:hAnsi="黑体" w:eastAsia="黑体"/>
          <w:sz w:val="32"/>
          <w:szCs w:val="32"/>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ascii="黑体" w:hAnsi="黑体" w:eastAsia="黑体"/>
          <w:sz w:val="32"/>
          <w:szCs w:val="32"/>
        </w:rPr>
        <w:t>300</w:t>
      </w:r>
      <w:r>
        <w:rPr>
          <w:rFonts w:hint="eastAsia" w:ascii="黑体" w:hAnsi="黑体" w:eastAsia="黑体"/>
          <w:sz w:val="32"/>
          <w:szCs w:val="32"/>
          <w:lang w:val="en-US" w:eastAsia="zh-CN"/>
        </w:rPr>
        <w:t>9</w:t>
      </w:r>
    </w:p>
    <w:p>
      <w:pPr>
        <w:spacing w:before="312" w:beforeLines="100" w:line="240" w:lineRule="atLeast"/>
        <w:ind w:right="-108"/>
        <w:jc w:val="center"/>
        <w:rPr>
          <w:rFonts w:ascii="宋体" w:hAnsi="宋体"/>
          <w:b/>
          <w:sz w:val="36"/>
          <w:szCs w:val="36"/>
        </w:rPr>
      </w:pPr>
    </w:p>
    <w:p>
      <w:pPr>
        <w:spacing w:after="100" w:afterAutospacing="1" w:line="800" w:lineRule="exact"/>
        <w:ind w:right="-108"/>
        <w:jc w:val="center"/>
        <w:rPr>
          <w:rFonts w:ascii="黑体" w:hAnsi="宋体" w:eastAsia="黑体"/>
          <w:b/>
          <w:spacing w:val="40"/>
          <w:sz w:val="84"/>
          <w:szCs w:val="84"/>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3</w:t>
      </w:r>
      <w:r>
        <w:rPr>
          <w:rFonts w:ascii="黑体" w:hAnsi="黑体" w:eastAsia="黑体"/>
          <w:sz w:val="32"/>
          <w:szCs w:val="32"/>
        </w:rPr>
        <w:t>年</w:t>
      </w:r>
      <w:r>
        <w:rPr>
          <w:rFonts w:hint="eastAsia" w:ascii="黑体" w:hAnsi="黑体" w:eastAsia="黑体"/>
          <w:sz w:val="32"/>
          <w:szCs w:val="32"/>
          <w:lang w:val="en-US" w:eastAsia="zh-CN"/>
        </w:rPr>
        <w:t>7</w:t>
      </w:r>
      <w:r>
        <w:rPr>
          <w:rFonts w:hint="eastAsia" w:ascii="黑体" w:hAnsi="黑体" w:eastAsia="黑体"/>
          <w:sz w:val="32"/>
          <w:szCs w:val="32"/>
        </w:rPr>
        <w:t>月</w:t>
      </w:r>
    </w:p>
    <w:p>
      <w:pPr>
        <w:spacing w:line="500" w:lineRule="exact"/>
        <w:ind w:right="532"/>
        <w:rPr>
          <w:rFonts w:ascii="宋体" w:hAnsi="宋体"/>
          <w:sz w:val="36"/>
          <w:szCs w:val="36"/>
        </w:rPr>
      </w:pPr>
    </w:p>
    <w:p>
      <w:pPr>
        <w:spacing w:line="500" w:lineRule="exact"/>
        <w:ind w:right="532"/>
        <w:rPr>
          <w:rFonts w:ascii="宋体" w:hAnsi="宋体"/>
          <w:sz w:val="36"/>
          <w:szCs w:val="36"/>
        </w:rPr>
      </w:pPr>
    </w:p>
    <w:p>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u w:val="single"/>
          <w14:textFill>
            <w14:solidFill>
              <w14:schemeClr w14:val="tx1"/>
            </w14:solidFill>
          </w14:textFill>
        </w:rPr>
        <w:t>ZJYYHCZB-202300</w:t>
      </w:r>
      <w:r>
        <w:rPr>
          <w:rFonts w:hint="eastAsia" w:ascii="宋体" w:hAnsi="宋体"/>
          <w:color w:val="000000" w:themeColor="text1"/>
          <w:sz w:val="24"/>
          <w:u w:val="single"/>
          <w:lang w:val="en-US" w:eastAsia="zh-CN"/>
          <w14:textFill>
            <w14:solidFill>
              <w14:schemeClr w14:val="tx1"/>
            </w14:solidFill>
          </w14:textFill>
        </w:rPr>
        <w:t>9</w:t>
      </w: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fldChar w:fldCharType="begin"/>
      </w:r>
      <w:r>
        <w:instrText xml:space="preserve"> LINK Excel.Sheet.12</w:instrText>
      </w:r>
      <w:r>
        <w:rPr>
          <w:rFonts w:hint="eastAsia"/>
        </w:rPr>
        <w:instrText xml:space="preserve"> F:\\采购中心\\耗材招标\\001采购谈判文件模板\\000常规耗材\\谈判产品目录-8.1.xlsx</w:instrText>
      </w:r>
      <w:r>
        <w:instrText xml:space="preserve"> Sheet1!R2C1:R5C3 \a \f 4 \h  \* MERGEFORMAT </w:instrText>
      </w:r>
      <w:r>
        <w:fldChar w:fldCharType="end"/>
      </w:r>
      <w:r>
        <w:rPr>
          <w:rFonts w:ascii="宋体" w:hAnsi="宋体"/>
          <w:color w:val="000000" w:themeColor="text1"/>
          <w:sz w:val="24"/>
          <w14:textFill>
            <w14:solidFill>
              <w14:schemeClr w14:val="tx1"/>
            </w14:solidFill>
          </w14:textFill>
        </w:rPr>
        <w:t xml:space="preserve"> </w:t>
      </w:r>
    </w:p>
    <w:tbl>
      <w:tblPr>
        <w:tblStyle w:val="11"/>
        <w:tblW w:w="7890" w:type="dxa"/>
        <w:tblInd w:w="4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5"/>
        <w:gridCol w:w="2409"/>
        <w:gridCol w:w="44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1075" w:type="dxa"/>
            <w:vAlign w:val="center"/>
          </w:tcPr>
          <w:p>
            <w:pPr>
              <w:widowControl/>
              <w:jc w:val="center"/>
              <w:rPr>
                <w:rFonts w:ascii="宋体" w:hAnsi="宋体"/>
                <w:b/>
                <w:bCs/>
                <w:kern w:val="0"/>
                <w:sz w:val="24"/>
                <w:szCs w:val="24"/>
              </w:rPr>
            </w:pPr>
            <w:r>
              <w:rPr>
                <w:rFonts w:hint="eastAsia"/>
                <w:b/>
                <w:bCs/>
                <w:kern w:val="0"/>
                <w:sz w:val="24"/>
                <w:szCs w:val="24"/>
              </w:rPr>
              <w:t>标项号</w:t>
            </w:r>
          </w:p>
        </w:tc>
        <w:tc>
          <w:tcPr>
            <w:tcW w:w="2409" w:type="dxa"/>
            <w:vAlign w:val="center"/>
          </w:tcPr>
          <w:p>
            <w:pPr>
              <w:jc w:val="center"/>
              <w:rPr>
                <w:b/>
                <w:bCs/>
                <w:kern w:val="0"/>
                <w:sz w:val="24"/>
                <w:szCs w:val="24"/>
              </w:rPr>
            </w:pPr>
            <w:r>
              <w:rPr>
                <w:rFonts w:hint="eastAsia"/>
                <w:b/>
                <w:bCs/>
                <w:kern w:val="0"/>
                <w:sz w:val="24"/>
                <w:szCs w:val="24"/>
              </w:rPr>
              <w:t>产品名称</w:t>
            </w:r>
          </w:p>
        </w:tc>
        <w:tc>
          <w:tcPr>
            <w:tcW w:w="4406" w:type="dxa"/>
            <w:vAlign w:val="center"/>
          </w:tcPr>
          <w:p>
            <w:pPr>
              <w:jc w:val="center"/>
              <w:rPr>
                <w:b/>
                <w:bCs/>
                <w:kern w:val="0"/>
                <w:sz w:val="24"/>
                <w:szCs w:val="24"/>
              </w:rPr>
            </w:pPr>
            <w:r>
              <w:rPr>
                <w:rFonts w:hint="eastAsia"/>
                <w:b/>
                <w:bCs/>
                <w:kern w:val="0"/>
                <w:sz w:val="24"/>
                <w:szCs w:val="24"/>
              </w:rPr>
              <w:t>产品描述（主要功能）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1075" w:type="dxa"/>
            <w:vAlign w:val="center"/>
          </w:tcPr>
          <w:p>
            <w:pPr>
              <w:rPr>
                <w:color w:val="000000"/>
                <w:kern w:val="0"/>
                <w:sz w:val="24"/>
                <w:szCs w:val="24"/>
              </w:rPr>
            </w:pPr>
            <w:r>
              <w:rPr>
                <w:rFonts w:hint="eastAsia"/>
                <w:color w:val="000000"/>
                <w:kern w:val="0"/>
                <w:sz w:val="24"/>
                <w:szCs w:val="24"/>
                <w:lang w:val="en-US" w:eastAsia="zh-CN"/>
              </w:rPr>
              <w:t>1</w:t>
            </w:r>
          </w:p>
        </w:tc>
        <w:tc>
          <w:tcPr>
            <w:tcW w:w="2409" w:type="dxa"/>
            <w:vAlign w:val="center"/>
          </w:tcPr>
          <w:p>
            <w:pPr>
              <w:rPr>
                <w:color w:val="000000"/>
                <w:kern w:val="0"/>
                <w:sz w:val="24"/>
                <w:szCs w:val="24"/>
              </w:rPr>
            </w:pPr>
            <w:r>
              <w:rPr>
                <w:rFonts w:hint="eastAsia"/>
                <w:color w:val="000000"/>
                <w:kern w:val="0"/>
                <w:sz w:val="24"/>
                <w:szCs w:val="24"/>
                <w:lang w:val="en-US" w:eastAsia="zh-CN"/>
              </w:rPr>
              <w:t>碱性医用清洗剂</w:t>
            </w:r>
          </w:p>
        </w:tc>
        <w:tc>
          <w:tcPr>
            <w:tcW w:w="4406" w:type="dxa"/>
            <w:vMerge w:val="restart"/>
            <w:vAlign w:val="center"/>
          </w:tcPr>
          <w:p>
            <w:pPr>
              <w:spacing w:line="360" w:lineRule="auto"/>
              <w:jc w:val="both"/>
              <w:rPr>
                <w:rFonts w:hint="default" w:ascii="宋体" w:hAnsi="宋体"/>
                <w:b/>
                <w:color w:val="000000"/>
                <w:sz w:val="24"/>
                <w:szCs w:val="24"/>
                <w:lang w:val="en-US"/>
              </w:rPr>
            </w:pPr>
            <w:r>
              <w:rPr>
                <w:rFonts w:hint="eastAsia"/>
                <w:color w:val="000000"/>
                <w:kern w:val="0"/>
                <w:sz w:val="24"/>
                <w:szCs w:val="24"/>
                <w:lang w:val="en-US" w:eastAsia="zh-CN"/>
              </w:rPr>
              <w:t>产品描述详见第三章采购产品要求。</w:t>
            </w:r>
          </w:p>
          <w:p>
            <w:pPr>
              <w:keepNext w:val="0"/>
              <w:keepLines w:val="0"/>
              <w:widowControl/>
              <w:suppressLineNumbers w:val="0"/>
              <w:jc w:val="left"/>
              <w:textAlignment w:val="center"/>
              <w:rPr>
                <w:rFonts w:hint="default" w:eastAsia="宋体"/>
                <w:color w:val="000000"/>
                <w:kern w:val="0"/>
                <w:sz w:val="20"/>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075" w:type="dxa"/>
            <w:vAlign w:val="center"/>
          </w:tcPr>
          <w:p>
            <w:pPr>
              <w:rPr>
                <w:color w:val="000000"/>
                <w:kern w:val="0"/>
                <w:sz w:val="24"/>
                <w:szCs w:val="24"/>
              </w:rPr>
            </w:pPr>
            <w:r>
              <w:rPr>
                <w:rFonts w:hint="eastAsia"/>
                <w:color w:val="000000"/>
                <w:kern w:val="0"/>
                <w:sz w:val="24"/>
                <w:szCs w:val="24"/>
                <w:lang w:val="en-US" w:eastAsia="zh-CN"/>
              </w:rPr>
              <w:t>2</w:t>
            </w:r>
          </w:p>
        </w:tc>
        <w:tc>
          <w:tcPr>
            <w:tcW w:w="2409" w:type="dxa"/>
            <w:vAlign w:val="center"/>
          </w:tcPr>
          <w:p>
            <w:pPr>
              <w:rPr>
                <w:color w:val="000000"/>
                <w:kern w:val="0"/>
                <w:sz w:val="24"/>
                <w:szCs w:val="24"/>
              </w:rPr>
            </w:pPr>
            <w:r>
              <w:rPr>
                <w:rFonts w:hint="eastAsia"/>
                <w:color w:val="000000"/>
                <w:kern w:val="0"/>
                <w:sz w:val="24"/>
                <w:szCs w:val="24"/>
                <w:lang w:val="en-US" w:eastAsia="zh-CN"/>
              </w:rPr>
              <w:t>含酶医用清洗剂</w:t>
            </w:r>
          </w:p>
        </w:tc>
        <w:tc>
          <w:tcPr>
            <w:tcW w:w="4406" w:type="dxa"/>
            <w:vMerge w:val="continue"/>
            <w:vAlign w:val="center"/>
          </w:tcPr>
          <w:p>
            <w:pPr>
              <w:keepNext w:val="0"/>
              <w:keepLines w:val="0"/>
              <w:widowControl/>
              <w:suppressLineNumbers w:val="0"/>
              <w:jc w:val="left"/>
              <w:textAlignment w:val="center"/>
              <w:rPr>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075" w:type="dxa"/>
            <w:vAlign w:val="center"/>
          </w:tcPr>
          <w:p>
            <w:pPr>
              <w:rPr>
                <w:rFonts w:hint="eastAsia"/>
                <w:color w:val="000000"/>
                <w:kern w:val="0"/>
                <w:sz w:val="24"/>
                <w:szCs w:val="24"/>
              </w:rPr>
            </w:pPr>
            <w:r>
              <w:rPr>
                <w:rFonts w:hint="eastAsia"/>
                <w:color w:val="000000"/>
                <w:kern w:val="0"/>
                <w:sz w:val="24"/>
                <w:szCs w:val="24"/>
                <w:lang w:val="en-US" w:eastAsia="zh-CN"/>
              </w:rPr>
              <w:t>3</w:t>
            </w:r>
          </w:p>
        </w:tc>
        <w:tc>
          <w:tcPr>
            <w:tcW w:w="2409" w:type="dxa"/>
            <w:vAlign w:val="center"/>
          </w:tcPr>
          <w:p>
            <w:pPr>
              <w:rPr>
                <w:color w:val="000000"/>
                <w:kern w:val="0"/>
                <w:sz w:val="24"/>
                <w:szCs w:val="24"/>
              </w:rPr>
            </w:pPr>
            <w:r>
              <w:rPr>
                <w:rFonts w:hint="eastAsia"/>
                <w:color w:val="000000"/>
                <w:kern w:val="0"/>
                <w:sz w:val="24"/>
                <w:szCs w:val="24"/>
                <w:lang w:val="en-US" w:eastAsia="zh-CN"/>
              </w:rPr>
              <w:t>内镜专用多酶清洗剂</w:t>
            </w:r>
          </w:p>
        </w:tc>
        <w:tc>
          <w:tcPr>
            <w:tcW w:w="4406" w:type="dxa"/>
            <w:vMerge w:val="continue"/>
            <w:vAlign w:val="center"/>
          </w:tcPr>
          <w:p>
            <w:pPr>
              <w:keepNext w:val="0"/>
              <w:keepLines w:val="0"/>
              <w:widowControl/>
              <w:suppressLineNumbers w:val="0"/>
              <w:jc w:val="left"/>
              <w:textAlignment w:val="center"/>
              <w:rPr>
                <w:rFonts w:hint="eastAsia"/>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075" w:type="dxa"/>
            <w:vAlign w:val="center"/>
          </w:tcPr>
          <w:p>
            <w:pPr>
              <w:rPr>
                <w:rFonts w:hint="eastAsia"/>
                <w:color w:val="000000"/>
                <w:kern w:val="0"/>
                <w:sz w:val="24"/>
                <w:szCs w:val="24"/>
              </w:rPr>
            </w:pPr>
            <w:r>
              <w:rPr>
                <w:rFonts w:hint="eastAsia"/>
                <w:color w:val="000000"/>
                <w:kern w:val="0"/>
                <w:sz w:val="24"/>
                <w:szCs w:val="24"/>
                <w:lang w:val="en-US" w:eastAsia="zh-CN"/>
              </w:rPr>
              <w:t>4</w:t>
            </w:r>
          </w:p>
        </w:tc>
        <w:tc>
          <w:tcPr>
            <w:tcW w:w="2409" w:type="dxa"/>
            <w:vAlign w:val="center"/>
          </w:tcPr>
          <w:p>
            <w:pPr>
              <w:rPr>
                <w:color w:val="000000"/>
                <w:kern w:val="0"/>
                <w:sz w:val="24"/>
                <w:szCs w:val="24"/>
              </w:rPr>
            </w:pPr>
            <w:r>
              <w:rPr>
                <w:rFonts w:hint="eastAsia"/>
                <w:color w:val="000000"/>
                <w:kern w:val="0"/>
                <w:sz w:val="24"/>
                <w:szCs w:val="24"/>
                <w:lang w:val="en-US" w:eastAsia="zh-CN"/>
              </w:rPr>
              <w:t>预处理专用多酶清洗剂</w:t>
            </w:r>
          </w:p>
        </w:tc>
        <w:tc>
          <w:tcPr>
            <w:tcW w:w="4406" w:type="dxa"/>
            <w:vMerge w:val="continue"/>
            <w:vAlign w:val="center"/>
          </w:tcPr>
          <w:p>
            <w:pPr>
              <w:keepNext w:val="0"/>
              <w:keepLines w:val="0"/>
              <w:widowControl/>
              <w:suppressLineNumbers w:val="0"/>
              <w:jc w:val="left"/>
              <w:textAlignment w:val="center"/>
              <w:rPr>
                <w:rFonts w:hint="eastAsia"/>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075" w:type="dxa"/>
            <w:vAlign w:val="center"/>
          </w:tcPr>
          <w:p>
            <w:pPr>
              <w:rPr>
                <w:rFonts w:hint="eastAsia"/>
                <w:color w:val="000000"/>
                <w:kern w:val="0"/>
                <w:sz w:val="24"/>
                <w:szCs w:val="24"/>
              </w:rPr>
            </w:pPr>
            <w:r>
              <w:rPr>
                <w:rFonts w:hint="eastAsia"/>
                <w:color w:val="000000"/>
                <w:kern w:val="0"/>
                <w:sz w:val="24"/>
                <w:szCs w:val="24"/>
                <w:lang w:val="en-US" w:eastAsia="zh-CN"/>
              </w:rPr>
              <w:t>5</w:t>
            </w:r>
          </w:p>
        </w:tc>
        <w:tc>
          <w:tcPr>
            <w:tcW w:w="2409" w:type="dxa"/>
            <w:vAlign w:val="center"/>
          </w:tcPr>
          <w:p>
            <w:pPr>
              <w:rPr>
                <w:color w:val="000000"/>
                <w:kern w:val="0"/>
                <w:sz w:val="24"/>
                <w:szCs w:val="24"/>
              </w:rPr>
            </w:pPr>
            <w:r>
              <w:rPr>
                <w:rFonts w:hint="eastAsia"/>
                <w:color w:val="000000"/>
                <w:kern w:val="0"/>
                <w:sz w:val="24"/>
                <w:szCs w:val="24"/>
                <w:lang w:val="en-US" w:eastAsia="zh-CN"/>
              </w:rPr>
              <w:t>润滑剂</w:t>
            </w:r>
          </w:p>
        </w:tc>
        <w:tc>
          <w:tcPr>
            <w:tcW w:w="4406" w:type="dxa"/>
            <w:vMerge w:val="continue"/>
            <w:vAlign w:val="center"/>
          </w:tcPr>
          <w:p>
            <w:pPr>
              <w:keepNext w:val="0"/>
              <w:keepLines w:val="0"/>
              <w:widowControl/>
              <w:suppressLineNumbers w:val="0"/>
              <w:jc w:val="left"/>
              <w:textAlignment w:val="center"/>
              <w:rPr>
                <w:rFonts w:hint="eastAsia"/>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075" w:type="dxa"/>
            <w:vAlign w:val="center"/>
          </w:tcPr>
          <w:p>
            <w:pPr>
              <w:rPr>
                <w:rFonts w:hint="eastAsia"/>
                <w:color w:val="000000"/>
                <w:kern w:val="0"/>
                <w:sz w:val="24"/>
                <w:szCs w:val="24"/>
              </w:rPr>
            </w:pPr>
            <w:r>
              <w:rPr>
                <w:rFonts w:hint="eastAsia"/>
                <w:color w:val="000000"/>
                <w:kern w:val="0"/>
                <w:sz w:val="24"/>
                <w:szCs w:val="24"/>
                <w:lang w:val="en-US" w:eastAsia="zh-CN"/>
              </w:rPr>
              <w:t>6</w:t>
            </w:r>
          </w:p>
        </w:tc>
        <w:tc>
          <w:tcPr>
            <w:tcW w:w="2409" w:type="dxa"/>
            <w:vAlign w:val="center"/>
          </w:tcPr>
          <w:p>
            <w:pPr>
              <w:rPr>
                <w:color w:val="000000"/>
                <w:kern w:val="0"/>
                <w:sz w:val="24"/>
                <w:szCs w:val="24"/>
              </w:rPr>
            </w:pPr>
            <w:r>
              <w:rPr>
                <w:rFonts w:hint="eastAsia"/>
                <w:color w:val="000000"/>
                <w:kern w:val="0"/>
                <w:sz w:val="24"/>
                <w:szCs w:val="24"/>
                <w:lang w:val="en-US" w:eastAsia="zh-CN"/>
              </w:rPr>
              <w:t>保湿剂</w:t>
            </w:r>
          </w:p>
        </w:tc>
        <w:tc>
          <w:tcPr>
            <w:tcW w:w="4406" w:type="dxa"/>
            <w:vMerge w:val="continue"/>
            <w:vAlign w:val="center"/>
          </w:tcPr>
          <w:p>
            <w:pPr>
              <w:keepNext w:val="0"/>
              <w:keepLines w:val="0"/>
              <w:widowControl/>
              <w:suppressLineNumbers w:val="0"/>
              <w:jc w:val="left"/>
              <w:textAlignment w:val="center"/>
              <w:rPr>
                <w:rFonts w:hint="eastAsia"/>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075" w:type="dxa"/>
            <w:vAlign w:val="center"/>
          </w:tcPr>
          <w:p>
            <w:pPr>
              <w:rPr>
                <w:rFonts w:hint="eastAsia"/>
                <w:color w:val="000000"/>
                <w:kern w:val="0"/>
                <w:sz w:val="24"/>
                <w:szCs w:val="24"/>
              </w:rPr>
            </w:pPr>
            <w:r>
              <w:rPr>
                <w:rFonts w:hint="eastAsia"/>
                <w:color w:val="000000"/>
                <w:kern w:val="0"/>
                <w:sz w:val="24"/>
                <w:szCs w:val="24"/>
                <w:lang w:val="en-US" w:eastAsia="zh-CN"/>
              </w:rPr>
              <w:t>7</w:t>
            </w:r>
          </w:p>
        </w:tc>
        <w:tc>
          <w:tcPr>
            <w:tcW w:w="2409" w:type="dxa"/>
            <w:vAlign w:val="center"/>
          </w:tcPr>
          <w:p>
            <w:pPr>
              <w:rPr>
                <w:color w:val="000000"/>
                <w:kern w:val="0"/>
                <w:sz w:val="24"/>
                <w:szCs w:val="24"/>
              </w:rPr>
            </w:pPr>
            <w:r>
              <w:rPr>
                <w:rFonts w:hint="eastAsia"/>
                <w:color w:val="000000"/>
                <w:kern w:val="0"/>
                <w:sz w:val="24"/>
                <w:szCs w:val="24"/>
                <w:lang w:val="en-US" w:eastAsia="zh-CN"/>
              </w:rPr>
              <w:t>除锈剂</w:t>
            </w:r>
          </w:p>
        </w:tc>
        <w:tc>
          <w:tcPr>
            <w:tcW w:w="4406" w:type="dxa"/>
            <w:vMerge w:val="continue"/>
            <w:vAlign w:val="center"/>
          </w:tcPr>
          <w:p>
            <w:pPr>
              <w:keepNext w:val="0"/>
              <w:keepLines w:val="0"/>
              <w:widowControl/>
              <w:suppressLineNumbers w:val="0"/>
              <w:jc w:val="left"/>
              <w:textAlignment w:val="center"/>
              <w:rPr>
                <w:rFonts w:hint="eastAsia"/>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075" w:type="dxa"/>
            <w:vAlign w:val="center"/>
          </w:tcPr>
          <w:p>
            <w:pPr>
              <w:rPr>
                <w:rFonts w:hint="eastAsia"/>
                <w:color w:val="000000"/>
                <w:kern w:val="0"/>
                <w:sz w:val="24"/>
                <w:szCs w:val="24"/>
              </w:rPr>
            </w:pPr>
            <w:r>
              <w:rPr>
                <w:rFonts w:hint="eastAsia"/>
                <w:color w:val="000000"/>
                <w:kern w:val="0"/>
                <w:sz w:val="24"/>
                <w:szCs w:val="24"/>
                <w:lang w:val="en-US" w:eastAsia="zh-CN"/>
              </w:rPr>
              <w:t>8</w:t>
            </w:r>
          </w:p>
        </w:tc>
        <w:tc>
          <w:tcPr>
            <w:tcW w:w="2409" w:type="dxa"/>
            <w:vAlign w:val="center"/>
          </w:tcPr>
          <w:p>
            <w:pPr>
              <w:rPr>
                <w:color w:val="000000"/>
                <w:kern w:val="0"/>
                <w:sz w:val="24"/>
                <w:szCs w:val="24"/>
              </w:rPr>
            </w:pPr>
            <w:r>
              <w:rPr>
                <w:rFonts w:hint="eastAsia"/>
                <w:color w:val="000000"/>
                <w:kern w:val="0"/>
                <w:sz w:val="24"/>
                <w:szCs w:val="24"/>
                <w:lang w:val="en-US" w:eastAsia="zh-CN"/>
              </w:rPr>
              <w:t>除垢剂</w:t>
            </w:r>
          </w:p>
        </w:tc>
        <w:tc>
          <w:tcPr>
            <w:tcW w:w="4406" w:type="dxa"/>
            <w:vMerge w:val="continue"/>
            <w:vAlign w:val="center"/>
          </w:tcPr>
          <w:p>
            <w:pPr>
              <w:keepNext w:val="0"/>
              <w:keepLines w:val="0"/>
              <w:widowControl/>
              <w:suppressLineNumbers w:val="0"/>
              <w:jc w:val="left"/>
              <w:textAlignment w:val="center"/>
              <w:rPr>
                <w:rFonts w:hint="eastAsia"/>
                <w:kern w:val="0"/>
                <w:sz w:val="20"/>
                <w:szCs w:val="20"/>
              </w:rPr>
            </w:pPr>
          </w:p>
        </w:tc>
      </w:tr>
    </w:tbl>
    <w:p>
      <w:pPr>
        <w:spacing w:line="360" w:lineRule="auto"/>
        <w:rPr>
          <w:rFonts w:ascii="宋体" w:hAnsi="宋体"/>
          <w:color w:val="000000" w:themeColor="text1"/>
          <w:sz w:val="24"/>
          <w14:textFill>
            <w14:solidFill>
              <w14:schemeClr w14:val="tx1"/>
            </w14:solidFill>
          </w14:textFill>
        </w:rPr>
      </w:pP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3</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7</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21</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516</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r>
        <w:rPr>
          <w:rFonts w:hint="eastAsia"/>
          <w:color w:val="FF0000"/>
          <w:sz w:val="24"/>
          <w:szCs w:val="24"/>
        </w:rPr>
        <w:t>收到邮件和响应文件才算报名成功。</w:t>
      </w: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pPr>
        <w:numPr>
          <w:ilvl w:val="0"/>
          <w:numId w:val="1"/>
        </w:numPr>
        <w:spacing w:line="360" w:lineRule="auto"/>
        <w:rPr>
          <w:rFonts w:ascii="宋体" w:hAnsi="宋体"/>
          <w:sz w:val="24"/>
        </w:rPr>
      </w:pPr>
      <w:r>
        <w:rPr>
          <w:rFonts w:hint="eastAsia" w:ascii="宋体" w:hAnsi="宋体"/>
          <w:sz w:val="24"/>
        </w:rPr>
        <w:t>联系地址和电话：</w:t>
      </w:r>
    </w:p>
    <w:p>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2号楼516房间</w:t>
      </w:r>
      <w:r>
        <w:rPr>
          <w:rFonts w:ascii="宋体" w:hAnsi="宋体"/>
          <w:sz w:val="24"/>
        </w:rPr>
        <w:t xml:space="preserve"> </w:t>
      </w:r>
    </w:p>
    <w:p>
      <w:pPr>
        <w:spacing w:line="360" w:lineRule="auto"/>
        <w:ind w:left="480"/>
        <w:rPr>
          <w:rFonts w:hint="default" w:ascii="宋体" w:hAnsi="宋体" w:eastAsia="宋体"/>
          <w:sz w:val="24"/>
          <w:lang w:val="en-US" w:eastAsia="zh-CN"/>
        </w:rPr>
      </w:pPr>
      <w:r>
        <w:rPr>
          <w:rFonts w:hint="eastAsia" w:ascii="宋体" w:hAnsi="宋体"/>
          <w:sz w:val="24"/>
        </w:rPr>
        <w:t xml:space="preserve">联系人：褚老师 </w:t>
      </w:r>
      <w:r>
        <w:rPr>
          <w:rFonts w:hint="eastAsia" w:ascii="宋体" w:hAnsi="宋体"/>
          <w:sz w:val="24"/>
          <w:lang w:val="en-US" w:eastAsia="zh-CN"/>
        </w:rPr>
        <w:t>胡老师</w:t>
      </w:r>
    </w:p>
    <w:p>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pPr>
        <w:adjustRightInd w:val="0"/>
        <w:snapToGrid w:val="0"/>
        <w:spacing w:line="360" w:lineRule="auto"/>
        <w:ind w:right="480"/>
        <w:jc w:val="center"/>
        <w:rPr>
          <w:rFonts w:ascii="宋体" w:hAnsi="宋体" w:cs="宋体"/>
          <w:b/>
          <w:snapToGrid w:val="0"/>
          <w:kern w:val="0"/>
          <w:sz w:val="32"/>
          <w:szCs w:val="20"/>
        </w:rPr>
      </w:pPr>
    </w:p>
    <w:p>
      <w:pPr>
        <w:adjustRightInd w:val="0"/>
        <w:snapToGrid w:val="0"/>
        <w:spacing w:line="360" w:lineRule="auto"/>
        <w:ind w:right="480"/>
        <w:jc w:val="center"/>
        <w:rPr>
          <w:rFonts w:ascii="宋体" w:hAnsi="宋体" w:cs="宋体"/>
          <w:b/>
          <w:snapToGrid w:val="0"/>
          <w:kern w:val="0"/>
          <w:sz w:val="32"/>
          <w:szCs w:val="20"/>
        </w:rPr>
      </w:pPr>
    </w:p>
    <w:p>
      <w:pPr>
        <w:adjustRightInd w:val="0"/>
        <w:snapToGrid w:val="0"/>
        <w:spacing w:line="360" w:lineRule="auto"/>
        <w:ind w:right="480"/>
        <w:jc w:val="center"/>
        <w:rPr>
          <w:rFonts w:ascii="宋体" w:hAnsi="宋体" w:cs="宋体"/>
          <w:b/>
          <w:snapToGrid w:val="0"/>
          <w:kern w:val="0"/>
          <w:sz w:val="32"/>
          <w:szCs w:val="20"/>
        </w:rPr>
      </w:pPr>
    </w:p>
    <w:p>
      <w:pPr>
        <w:adjustRightInd w:val="0"/>
        <w:snapToGrid w:val="0"/>
        <w:spacing w:line="360" w:lineRule="auto"/>
        <w:ind w:right="480"/>
        <w:jc w:val="center"/>
        <w:rPr>
          <w:rFonts w:ascii="宋体" w:hAnsi="宋体" w:cs="宋体"/>
          <w:b/>
          <w:snapToGrid w:val="0"/>
          <w:kern w:val="0"/>
          <w:sz w:val="32"/>
          <w:szCs w:val="20"/>
        </w:rPr>
      </w:pPr>
    </w:p>
    <w:p>
      <w:pPr>
        <w:adjustRightInd w:val="0"/>
        <w:snapToGrid w:val="0"/>
        <w:spacing w:line="360" w:lineRule="auto"/>
        <w:ind w:right="480"/>
        <w:jc w:val="center"/>
        <w:rPr>
          <w:rFonts w:ascii="宋体" w:hAnsi="宋体" w:cs="宋体"/>
          <w:b/>
          <w:snapToGrid w:val="0"/>
          <w:kern w:val="0"/>
          <w:sz w:val="32"/>
          <w:szCs w:val="20"/>
        </w:rPr>
      </w:pPr>
    </w:p>
    <w:p>
      <w:pPr>
        <w:adjustRightInd w:val="0"/>
        <w:snapToGrid w:val="0"/>
        <w:spacing w:line="360" w:lineRule="auto"/>
        <w:ind w:right="480"/>
        <w:jc w:val="center"/>
        <w:rPr>
          <w:rFonts w:ascii="宋体" w:hAnsi="宋体" w:cs="宋体"/>
          <w:b/>
          <w:snapToGrid w:val="0"/>
          <w:kern w:val="0"/>
          <w:sz w:val="32"/>
          <w:szCs w:val="20"/>
        </w:rPr>
      </w:pPr>
    </w:p>
    <w:p>
      <w:pPr>
        <w:adjustRightInd w:val="0"/>
        <w:snapToGrid w:val="0"/>
        <w:spacing w:line="360" w:lineRule="auto"/>
        <w:ind w:right="480"/>
        <w:jc w:val="center"/>
        <w:rPr>
          <w:rFonts w:ascii="宋体" w:hAnsi="宋体" w:cs="宋体"/>
          <w:b/>
          <w:snapToGrid w:val="0"/>
          <w:kern w:val="0"/>
          <w:sz w:val="32"/>
          <w:szCs w:val="20"/>
        </w:rPr>
      </w:pPr>
    </w:p>
    <w:p>
      <w:pPr>
        <w:adjustRightInd w:val="0"/>
        <w:snapToGrid w:val="0"/>
        <w:spacing w:line="360" w:lineRule="auto"/>
        <w:ind w:right="480"/>
        <w:jc w:val="center"/>
        <w:rPr>
          <w:rFonts w:ascii="宋体" w:hAnsi="宋体" w:cs="宋体"/>
          <w:b/>
          <w:snapToGrid w:val="0"/>
          <w:kern w:val="0"/>
          <w:sz w:val="32"/>
          <w:szCs w:val="20"/>
        </w:rPr>
      </w:pPr>
    </w:p>
    <w:p>
      <w:pPr>
        <w:adjustRightInd w:val="0"/>
        <w:snapToGrid w:val="0"/>
        <w:spacing w:line="360" w:lineRule="auto"/>
        <w:ind w:right="480"/>
        <w:jc w:val="center"/>
        <w:rPr>
          <w:rFonts w:ascii="宋体" w:hAnsi="宋体" w:cs="宋体"/>
          <w:b/>
          <w:snapToGrid w:val="0"/>
          <w:kern w:val="0"/>
          <w:sz w:val="32"/>
          <w:szCs w:val="20"/>
        </w:rPr>
      </w:pPr>
    </w:p>
    <w:p>
      <w:pPr>
        <w:adjustRightInd w:val="0"/>
        <w:snapToGrid w:val="0"/>
        <w:spacing w:line="360" w:lineRule="auto"/>
        <w:ind w:right="480"/>
        <w:jc w:val="center"/>
        <w:rPr>
          <w:rFonts w:ascii="宋体" w:hAnsi="宋体" w:cs="宋体"/>
          <w:b/>
          <w:snapToGrid w:val="0"/>
          <w:kern w:val="0"/>
          <w:sz w:val="32"/>
          <w:szCs w:val="20"/>
        </w:rPr>
      </w:pPr>
    </w:p>
    <w:p>
      <w:pPr>
        <w:adjustRightInd w:val="0"/>
        <w:snapToGrid w:val="0"/>
        <w:spacing w:line="360" w:lineRule="auto"/>
        <w:ind w:right="480"/>
        <w:jc w:val="center"/>
        <w:rPr>
          <w:rFonts w:ascii="宋体" w:hAnsi="宋体" w:cs="宋体"/>
          <w:b/>
          <w:snapToGrid w:val="0"/>
          <w:kern w:val="0"/>
          <w:sz w:val="32"/>
          <w:szCs w:val="20"/>
        </w:rPr>
      </w:pPr>
    </w:p>
    <w:p>
      <w:pPr>
        <w:adjustRightInd w:val="0"/>
        <w:snapToGrid w:val="0"/>
        <w:spacing w:line="360" w:lineRule="auto"/>
        <w:ind w:right="480"/>
        <w:jc w:val="center"/>
        <w:rPr>
          <w:rFonts w:ascii="宋体" w:hAnsi="宋体" w:cs="宋体"/>
          <w:b/>
          <w:snapToGrid w:val="0"/>
          <w:kern w:val="0"/>
          <w:sz w:val="32"/>
          <w:szCs w:val="20"/>
        </w:rPr>
      </w:pPr>
    </w:p>
    <w:p>
      <w:pPr>
        <w:adjustRightInd w:val="0"/>
        <w:snapToGrid w:val="0"/>
        <w:spacing w:line="360" w:lineRule="auto"/>
        <w:ind w:right="480"/>
        <w:jc w:val="center"/>
        <w:rPr>
          <w:rFonts w:ascii="宋体" w:hAnsi="宋体" w:cs="宋体"/>
          <w:b/>
          <w:snapToGrid w:val="0"/>
          <w:kern w:val="0"/>
          <w:sz w:val="32"/>
          <w:szCs w:val="20"/>
        </w:rPr>
      </w:pPr>
    </w:p>
    <w:p>
      <w:pPr>
        <w:adjustRightInd w:val="0"/>
        <w:snapToGrid w:val="0"/>
        <w:spacing w:line="360" w:lineRule="auto"/>
        <w:ind w:right="480"/>
        <w:jc w:val="center"/>
        <w:rPr>
          <w:rFonts w:ascii="宋体" w:hAnsi="宋体" w:cs="宋体"/>
          <w:b/>
          <w:snapToGrid w:val="0"/>
          <w:kern w:val="0"/>
          <w:sz w:val="32"/>
          <w:szCs w:val="20"/>
        </w:rPr>
      </w:pPr>
    </w:p>
    <w:p>
      <w:pPr>
        <w:adjustRightInd w:val="0"/>
        <w:snapToGrid w:val="0"/>
        <w:spacing w:line="360" w:lineRule="auto"/>
        <w:ind w:right="480"/>
        <w:jc w:val="center"/>
        <w:rPr>
          <w:rFonts w:ascii="宋体" w:hAnsi="宋体" w:cs="宋体"/>
          <w:b/>
          <w:snapToGrid w:val="0"/>
          <w:kern w:val="0"/>
          <w:sz w:val="32"/>
          <w:szCs w:val="20"/>
        </w:rPr>
      </w:pPr>
    </w:p>
    <w:p>
      <w:pPr>
        <w:adjustRightInd w:val="0"/>
        <w:snapToGrid w:val="0"/>
        <w:spacing w:line="360" w:lineRule="auto"/>
        <w:ind w:right="480"/>
        <w:jc w:val="center"/>
        <w:rPr>
          <w:rFonts w:ascii="宋体" w:hAnsi="宋体" w:cs="宋体"/>
          <w:b/>
          <w:snapToGrid w:val="0"/>
          <w:kern w:val="0"/>
          <w:sz w:val="32"/>
          <w:szCs w:val="20"/>
        </w:rPr>
      </w:pPr>
    </w:p>
    <w:p>
      <w:pPr>
        <w:adjustRightInd w:val="0"/>
        <w:snapToGrid w:val="0"/>
        <w:spacing w:line="360" w:lineRule="auto"/>
        <w:ind w:right="480"/>
        <w:jc w:val="center"/>
        <w:rPr>
          <w:rFonts w:ascii="宋体" w:hAnsi="宋体" w:cs="宋体"/>
          <w:b/>
          <w:snapToGrid w:val="0"/>
          <w:kern w:val="0"/>
          <w:sz w:val="32"/>
          <w:szCs w:val="20"/>
        </w:rPr>
      </w:pPr>
    </w:p>
    <w:p>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pPr>
              <w:pStyle w:val="26"/>
              <w:snapToGrid w:val="0"/>
              <w:spacing w:line="276" w:lineRule="auto"/>
              <w:ind w:firstLine="0" w:firstLineChars="0"/>
              <w:rPr>
                <w:rFonts w:hint="eastAsia" w:ascii="Times New Roman" w:hAnsi="Times New Roman" w:eastAsiaTheme="minorEastAsia"/>
                <w:sz w:val="24"/>
                <w:lang w:val="en-US" w:eastAsia="zh-CN"/>
              </w:rPr>
            </w:pPr>
            <w:r>
              <w:rPr>
                <w:rFonts w:ascii="Times New Roman" w:hAnsi="Times New Roman"/>
                <w:sz w:val="24"/>
              </w:rPr>
              <w:t>联系人：</w:t>
            </w:r>
            <w:r>
              <w:rPr>
                <w:rFonts w:hint="eastAsia" w:ascii="Times New Roman" w:hAnsi="Times New Roman"/>
                <w:sz w:val="24"/>
              </w:rPr>
              <w:t>褚老师</w:t>
            </w:r>
            <w:r>
              <w:rPr>
                <w:rFonts w:hint="eastAsia" w:ascii="Times New Roman" w:hAnsi="Times New Roman"/>
                <w:sz w:val="24"/>
                <w:lang w:val="en-US" w:eastAsia="zh-CN"/>
              </w:rPr>
              <w:t xml:space="preserve"> </w:t>
            </w:r>
            <w:r>
              <w:rPr>
                <w:rFonts w:hint="eastAsia" w:ascii="宋体" w:hAnsi="宋体"/>
                <w:sz w:val="24"/>
                <w:lang w:val="en-US" w:eastAsia="zh-CN"/>
              </w:rPr>
              <w:t>胡老师</w:t>
            </w:r>
            <w:bookmarkStart w:id="1" w:name="_GoBack"/>
            <w:bookmarkEnd w:id="1"/>
          </w:p>
          <w:p>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pPr>
              <w:widowControl/>
              <w:spacing w:line="276" w:lineRule="auto"/>
              <w:rPr>
                <w:rFonts w:ascii="Times New Roman" w:hAnsi="Times New Roman"/>
                <w:sz w:val="24"/>
              </w:rPr>
            </w:pPr>
            <w:r>
              <w:rPr>
                <w:rFonts w:ascii="Times New Roman" w:hAnsi="Times New Roman"/>
                <w:sz w:val="24"/>
              </w:rPr>
              <w:t>自响应截止时间起90天</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pPr>
        <w:spacing w:line="360" w:lineRule="auto"/>
        <w:ind w:left="480"/>
        <w:rPr>
          <w:rFonts w:ascii="宋体" w:hAnsi="宋体"/>
          <w:sz w:val="24"/>
        </w:rPr>
      </w:pPr>
    </w:p>
    <w:p>
      <w:pPr>
        <w:pStyle w:val="15"/>
        <w:widowControl/>
        <w:snapToGrid w:val="0"/>
        <w:ind w:left="420" w:firstLine="0" w:firstLineChars="0"/>
        <w:jc w:val="left"/>
        <w:rPr>
          <w:rFonts w:ascii="宋体" w:hAnsi="宋体"/>
          <w:color w:val="000000"/>
          <w:sz w:val="24"/>
          <w:szCs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pPr>
        <w:tabs>
          <w:tab w:val="left" w:pos="540"/>
        </w:tabs>
        <w:spacing w:line="360" w:lineRule="auto"/>
        <w:ind w:left="420"/>
        <w:rPr>
          <w:rFonts w:hint="eastAsia" w:ascii="宋体" w:hAnsi="宋体"/>
          <w:sz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lang w:val="en-US" w:eastAsia="zh-CN"/>
        </w:rPr>
        <w:t>产品描述：</w:t>
      </w:r>
    </w:p>
    <w:p>
      <w:pPr>
        <w:numPr>
          <w:ilvl w:val="0"/>
          <w:numId w:val="4"/>
        </w:numPr>
        <w:tabs>
          <w:tab w:val="left" w:pos="540"/>
          <w:tab w:val="left" w:pos="567"/>
        </w:tabs>
        <w:spacing w:line="360" w:lineRule="auto"/>
        <w:ind w:left="240" w:leftChars="0" w:firstLine="0" w:firstLineChars="0"/>
        <w:rPr>
          <w:rFonts w:hint="eastAsia" w:ascii="宋体" w:hAnsi="宋体"/>
          <w:color w:val="000000"/>
          <w:sz w:val="24"/>
          <w:lang w:val="en-US" w:eastAsia="zh-CN"/>
        </w:rPr>
      </w:pPr>
      <w:r>
        <w:rPr>
          <w:rFonts w:hint="eastAsia" w:ascii="宋体" w:hAnsi="宋体"/>
          <w:color w:val="000000"/>
          <w:sz w:val="24"/>
          <w:lang w:val="en-US" w:eastAsia="zh-CN"/>
        </w:rPr>
        <w:t>标项1</w:t>
      </w:r>
      <w:r>
        <w:rPr>
          <w:rFonts w:hint="eastAsia"/>
          <w:color w:val="000000"/>
          <w:kern w:val="0"/>
          <w:sz w:val="24"/>
          <w:szCs w:val="24"/>
          <w:lang w:val="en-US" w:eastAsia="zh-CN"/>
        </w:rPr>
        <w:t>碱性医用清洗剂</w:t>
      </w:r>
      <w:r>
        <w:rPr>
          <w:rFonts w:hint="eastAsia" w:ascii="宋体" w:hAnsi="宋体"/>
          <w:color w:val="000000"/>
          <w:sz w:val="24"/>
          <w:lang w:val="en-US" w:eastAsia="zh-CN"/>
        </w:rPr>
        <w:t>：适用于各类器械的预清洗、手工清洗、超声清洗以及全自动清洗机清洗，能有效去除蛋白质、血液、组织、脂肪等任何有机污染物。适用于眼科精密手术器械。PH值：8.0-10.0之间。液体澄清透明，不分层，无悬浮物或沉淀，无异味，颜色宜浅色，外观稳定。细菌菌落总数限值为100CFU/ml,不得含有致病菌。与医疗器械及材料相容性好，对金属基本无腐蚀；与人体组织有良好的相容性，对人体无毒、无害、无刺激，并提供带CMA章的权威机构出具的第三方检测报告。低泡型或者无泡型清洗剂、易漂洗，无残留。医用清洗剂及其降解产物不会造成环境污染。规格不大于5L/桶。</w:t>
      </w:r>
    </w:p>
    <w:p>
      <w:pPr>
        <w:numPr>
          <w:ilvl w:val="0"/>
          <w:numId w:val="4"/>
        </w:numPr>
        <w:tabs>
          <w:tab w:val="left" w:pos="540"/>
          <w:tab w:val="left" w:pos="567"/>
        </w:tabs>
        <w:spacing w:line="360" w:lineRule="auto"/>
        <w:ind w:left="240" w:leftChars="0" w:firstLine="0" w:firstLineChars="0"/>
        <w:rPr>
          <w:rFonts w:hint="default" w:ascii="宋体" w:hAnsi="宋体"/>
          <w:color w:val="000000"/>
          <w:sz w:val="24"/>
          <w:lang w:val="en-US" w:eastAsia="zh-CN"/>
        </w:rPr>
      </w:pPr>
      <w:r>
        <w:rPr>
          <w:rFonts w:hint="eastAsia" w:ascii="宋体" w:hAnsi="宋体"/>
          <w:color w:val="000000"/>
          <w:sz w:val="24"/>
          <w:lang w:val="en-US" w:eastAsia="zh-CN"/>
        </w:rPr>
        <w:t>标项2</w:t>
      </w:r>
      <w:r>
        <w:rPr>
          <w:rFonts w:hint="eastAsia"/>
          <w:color w:val="000000"/>
          <w:kern w:val="0"/>
          <w:sz w:val="24"/>
          <w:szCs w:val="24"/>
          <w:lang w:val="en-US" w:eastAsia="zh-CN"/>
        </w:rPr>
        <w:t>含酶医用清洗剂：适用于各类器械的预清洗、手工清洗、超声清洗以及全自动清洗机清洗。加入酶制剂如蛋白酶、淀粉酶、脂肪酶等，能分解相应有机污染物的医用清洗剂。PH值：6.5-7.5之间。液体澄清透明，不分层，无悬浮物或沉淀，无异味，颜色宜浅色，外观稳定。产品符合«T/WSJD002-2019 医用清洗剂卫生要求»中清洗效果的要求。细菌菌落总数限值为100CFU/ml,不得含有致病菌。与医疗器械及材料相容性好，对各种器械材质基本无腐蚀。与人体组织有良好的相容性，对人体无毒、无害、无刺激。并提供带CMA章的权威机构出具的第三方检测报告。低泡型或者无泡型清洗剂、易漂洗，无残留。医用清洗剂及其降解产物不会造成环境污染。规格不大于5L/桶。适用于消毒供应中心、内镜中心、口腔科等。</w:t>
      </w:r>
    </w:p>
    <w:p>
      <w:pPr>
        <w:numPr>
          <w:ilvl w:val="0"/>
          <w:numId w:val="4"/>
        </w:numPr>
        <w:tabs>
          <w:tab w:val="left" w:pos="540"/>
          <w:tab w:val="left" w:pos="567"/>
        </w:tabs>
        <w:spacing w:line="360" w:lineRule="auto"/>
        <w:ind w:left="240" w:leftChars="0" w:firstLine="0" w:firstLineChars="0"/>
        <w:rPr>
          <w:rFonts w:hint="default" w:ascii="宋体" w:hAnsi="宋体"/>
          <w:color w:val="000000"/>
          <w:sz w:val="24"/>
          <w:lang w:val="en-US" w:eastAsia="zh-CN"/>
        </w:rPr>
      </w:pPr>
      <w:r>
        <w:rPr>
          <w:rFonts w:hint="eastAsia" w:ascii="宋体" w:hAnsi="宋体"/>
          <w:color w:val="000000"/>
          <w:sz w:val="24"/>
          <w:lang w:val="en-US" w:eastAsia="zh-CN"/>
        </w:rPr>
        <w:t>标项3</w:t>
      </w:r>
      <w:r>
        <w:rPr>
          <w:rFonts w:hint="eastAsia"/>
          <w:color w:val="000000"/>
          <w:kern w:val="0"/>
          <w:sz w:val="24"/>
          <w:szCs w:val="24"/>
          <w:lang w:val="en-US" w:eastAsia="zh-CN"/>
        </w:rPr>
        <w:t>内镜专用多酶清洗剂：符合《医用清洗剂卫生要求》（T/WSJD 002-2019)，能去除生物膜，提供带CMA章的权威机构出具的第三方检测报告。标明对生物膜有特效的医用清洗剂，模拟生物膜中的细菌减少值在 90%以上， ATP 含量减少值在90%以上。</w:t>
      </w:r>
    </w:p>
    <w:p>
      <w:pPr>
        <w:numPr>
          <w:ilvl w:val="0"/>
          <w:numId w:val="4"/>
        </w:numPr>
        <w:tabs>
          <w:tab w:val="left" w:pos="540"/>
          <w:tab w:val="left" w:pos="567"/>
        </w:tabs>
        <w:spacing w:line="360" w:lineRule="auto"/>
        <w:ind w:left="240" w:leftChars="0" w:firstLine="0" w:firstLineChars="0"/>
        <w:rPr>
          <w:rFonts w:hint="default" w:ascii="宋体" w:hAnsi="宋体"/>
          <w:color w:val="000000"/>
          <w:sz w:val="24"/>
          <w:lang w:val="en-US" w:eastAsia="zh-CN"/>
        </w:rPr>
      </w:pPr>
      <w:r>
        <w:rPr>
          <w:rFonts w:hint="eastAsia" w:ascii="宋体" w:hAnsi="宋体"/>
          <w:color w:val="000000"/>
          <w:sz w:val="24"/>
          <w:lang w:val="en-US" w:eastAsia="zh-CN"/>
        </w:rPr>
        <w:t>标项4</w:t>
      </w:r>
      <w:r>
        <w:rPr>
          <w:rFonts w:hint="eastAsia"/>
          <w:color w:val="000000"/>
          <w:kern w:val="0"/>
          <w:sz w:val="24"/>
          <w:szCs w:val="24"/>
          <w:lang w:val="en-US" w:eastAsia="zh-CN"/>
        </w:rPr>
        <w:t>预处理专用多酶清洗剂：用于去除各类材质器械及医疗用品上蛋白质、脂肪等污物。能迅速分解血液及其他富含蛋白质的体液，防止器械表面污染物干结及凝固，具有去污、保湿双重功效。具有抑菌功能的清洗剂，专用于器械预处理。PH值中性，安全无毒、有防锈功能，能良好的保护器械不受磨损和腐蚀。不含磷，易漂洗，无残留。适用于各种材质的医疗器械、器具和物品。对不锈钢、铜、铝、碳钢等各种器械材质的腐蚀级别均为基本无腐蚀，并提供带CMA章的权威机构出具的第三方检测报告。适用于用于床边、术中、ERCP等场所使用。</w:t>
      </w:r>
    </w:p>
    <w:p>
      <w:pPr>
        <w:numPr>
          <w:ilvl w:val="0"/>
          <w:numId w:val="4"/>
        </w:numPr>
        <w:tabs>
          <w:tab w:val="left" w:pos="540"/>
          <w:tab w:val="left" w:pos="567"/>
        </w:tabs>
        <w:spacing w:line="360" w:lineRule="auto"/>
        <w:ind w:left="240" w:leftChars="0" w:firstLine="0" w:firstLineChars="0"/>
        <w:rPr>
          <w:rFonts w:hint="default" w:ascii="宋体" w:hAnsi="宋体"/>
          <w:color w:val="000000"/>
          <w:sz w:val="24"/>
          <w:lang w:val="en-US" w:eastAsia="zh-CN"/>
        </w:rPr>
      </w:pPr>
      <w:r>
        <w:rPr>
          <w:rFonts w:hint="eastAsia" w:ascii="宋体" w:hAnsi="宋体"/>
          <w:color w:val="000000"/>
          <w:sz w:val="24"/>
          <w:lang w:val="en-US" w:eastAsia="zh-CN"/>
        </w:rPr>
        <w:t>标项5</w:t>
      </w:r>
      <w:r>
        <w:rPr>
          <w:rFonts w:hint="eastAsia"/>
          <w:color w:val="000000"/>
          <w:kern w:val="0"/>
          <w:sz w:val="24"/>
          <w:szCs w:val="24"/>
          <w:lang w:val="en-US" w:eastAsia="zh-CN"/>
        </w:rPr>
        <w:t>润滑剂：适用于手术器械的机械上油和手工润滑。PH值中性。具有良好的水溶性特征，无沉淀物。能经受高压灭菌锅的高温且不会粘稠，不影响灭菌过程中各种灭菌因子的穿透，防止锈蚀、点蚀的产生。与人体具有良好相容性，安全无毒无害，无刺激。对不锈钢、铜、铝、碳钢等各种器械材质的腐蚀级别均为基本无腐蚀，不影响医疗器械性能，干燥后无明显油斑、无碳化、无粉末。细菌菌落总数限值为100CFU/ml,不得含有致病菌。并提供第三方检测报告。规格不大于5L/桶。</w:t>
      </w:r>
    </w:p>
    <w:p>
      <w:pPr>
        <w:numPr>
          <w:ilvl w:val="0"/>
          <w:numId w:val="4"/>
        </w:numPr>
        <w:tabs>
          <w:tab w:val="left" w:pos="540"/>
          <w:tab w:val="left" w:pos="567"/>
        </w:tabs>
        <w:spacing w:line="360" w:lineRule="auto"/>
        <w:ind w:left="240" w:leftChars="0" w:firstLine="0" w:firstLineChars="0"/>
        <w:rPr>
          <w:rFonts w:hint="default" w:ascii="宋体" w:hAnsi="宋体"/>
          <w:color w:val="000000"/>
          <w:sz w:val="24"/>
          <w:lang w:val="en-US" w:eastAsia="zh-CN"/>
        </w:rPr>
      </w:pPr>
      <w:r>
        <w:rPr>
          <w:rFonts w:hint="eastAsia" w:ascii="宋体" w:hAnsi="宋体"/>
          <w:color w:val="000000"/>
          <w:sz w:val="24"/>
          <w:lang w:val="en-US" w:eastAsia="zh-CN"/>
        </w:rPr>
        <w:t>标项6保湿剂</w:t>
      </w:r>
      <w:r>
        <w:rPr>
          <w:rFonts w:hint="eastAsia"/>
          <w:color w:val="000000"/>
          <w:kern w:val="0"/>
          <w:sz w:val="24"/>
          <w:szCs w:val="24"/>
          <w:lang w:val="en-US" w:eastAsia="zh-CN"/>
        </w:rPr>
        <w:t>：保湿≥15小时；喷嘴设计，深入特殊器械及管腔内部；PH值中性，对器械无腐蚀</w:t>
      </w:r>
    </w:p>
    <w:p>
      <w:pPr>
        <w:numPr>
          <w:ilvl w:val="0"/>
          <w:numId w:val="4"/>
        </w:numPr>
        <w:tabs>
          <w:tab w:val="left" w:pos="540"/>
          <w:tab w:val="left" w:pos="567"/>
        </w:tabs>
        <w:spacing w:line="360" w:lineRule="auto"/>
        <w:ind w:left="240" w:leftChars="0" w:firstLine="0" w:firstLineChars="0"/>
        <w:rPr>
          <w:rFonts w:hint="default" w:ascii="宋体" w:hAnsi="宋体"/>
          <w:color w:val="000000"/>
          <w:sz w:val="24"/>
          <w:lang w:val="en-US" w:eastAsia="zh-CN"/>
        </w:rPr>
      </w:pPr>
      <w:r>
        <w:rPr>
          <w:rFonts w:hint="eastAsia" w:ascii="宋体" w:hAnsi="宋体"/>
          <w:color w:val="000000"/>
          <w:sz w:val="24"/>
          <w:lang w:val="en-US" w:eastAsia="zh-CN"/>
        </w:rPr>
        <w:t>标项7除锈剂</w:t>
      </w:r>
      <w:r>
        <w:rPr>
          <w:rFonts w:hint="eastAsia"/>
          <w:color w:val="000000"/>
          <w:kern w:val="0"/>
          <w:sz w:val="24"/>
          <w:szCs w:val="24"/>
          <w:lang w:val="en-US" w:eastAsia="zh-CN"/>
        </w:rPr>
        <w:t>：用于手术器械除锈处理、清洗消毒器、灭菌器及其他设备表面的除锈，并有除垢功能。温和弱酸性、无泡。易漂洗，无残留。能有效快速除锈，不会对器械、设备本身产生损伤与腐蚀。并提供带CMA章的权威机构出具的第三方检测报告。常温下使用，加温能加强除锈效果，彻底解决器械生锈问题，并可安全用于各种内镜附件、显微外科及眼科等精密器械。</w:t>
      </w:r>
    </w:p>
    <w:p>
      <w:pPr>
        <w:numPr>
          <w:ilvl w:val="0"/>
          <w:numId w:val="4"/>
        </w:numPr>
        <w:tabs>
          <w:tab w:val="left" w:pos="540"/>
          <w:tab w:val="left" w:pos="567"/>
        </w:tabs>
        <w:spacing w:line="360" w:lineRule="auto"/>
        <w:ind w:left="240" w:leftChars="0" w:firstLine="0" w:firstLineChars="0"/>
        <w:rPr>
          <w:rFonts w:hint="eastAsia" w:ascii="宋体" w:hAnsi="宋体"/>
          <w:color w:val="000000"/>
          <w:sz w:val="24"/>
          <w:lang w:val="en-US" w:eastAsia="zh-CN"/>
        </w:rPr>
      </w:pPr>
      <w:r>
        <w:rPr>
          <w:rFonts w:hint="eastAsia" w:ascii="宋体" w:hAnsi="宋体"/>
          <w:color w:val="000000"/>
          <w:sz w:val="24"/>
          <w:lang w:val="en-US" w:eastAsia="zh-CN"/>
        </w:rPr>
        <w:t>标项8除垢剂：手术器械、清洗消毒器、灭菌器及其他设备表面的除垢、锈渍等无机污垢。温和弱酸性、无泡。易漂洗，无残留。安全无毒无害，无刺激，并提供带CMA章的权威机构出具的第三方检测报告。高效除垢，不会对金属器械、设备本身产生损伤与腐蚀，并提供第三方检测报告。</w:t>
      </w:r>
    </w:p>
    <w:p>
      <w:pPr>
        <w:spacing w:line="360" w:lineRule="auto"/>
        <w:jc w:val="left"/>
        <w:rPr>
          <w:rFonts w:ascii="宋体" w:hAnsi="宋体"/>
          <w:b/>
          <w:sz w:val="32"/>
          <w:szCs w:val="32"/>
        </w:rPr>
      </w:pPr>
    </w:p>
    <w:p>
      <w:pPr>
        <w:spacing w:line="360" w:lineRule="auto"/>
        <w:ind w:left="474"/>
        <w:jc w:val="center"/>
        <w:rPr>
          <w:rFonts w:ascii="宋体" w:hAnsi="宋体"/>
          <w:b/>
          <w:sz w:val="32"/>
          <w:szCs w:val="32"/>
        </w:rPr>
      </w:pPr>
      <w:r>
        <w:rPr>
          <w:rFonts w:hint="eastAsia" w:ascii="宋体" w:hAnsi="宋体"/>
          <w:b/>
          <w:sz w:val="32"/>
          <w:szCs w:val="32"/>
        </w:rPr>
        <w:t>第四章  报价要求</w:t>
      </w:r>
    </w:p>
    <w:p>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pPr>
        <w:pStyle w:val="15"/>
        <w:widowControl/>
        <w:snapToGrid w:val="0"/>
        <w:ind w:left="420" w:firstLine="0" w:firstLineChars="0"/>
        <w:jc w:val="left"/>
        <w:rPr>
          <w:rFonts w:ascii="宋体" w:hAnsi="宋体"/>
          <w:color w:val="000000"/>
          <w:sz w:val="24"/>
          <w:szCs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firstLine="2731" w:firstLineChars="850"/>
        <w:rPr>
          <w:rFonts w:ascii="宋体" w:hAnsi="宋体"/>
          <w:b/>
          <w:sz w:val="32"/>
          <w:szCs w:val="32"/>
        </w:rPr>
      </w:pPr>
      <w:r>
        <w:rPr>
          <w:rFonts w:hint="eastAsia" w:ascii="宋体" w:hAnsi="宋体"/>
          <w:b/>
          <w:sz w:val="32"/>
          <w:szCs w:val="32"/>
        </w:rPr>
        <w:t>第</w:t>
      </w:r>
      <w:r>
        <w:rPr>
          <w:rFonts w:hint="eastAsia" w:ascii="宋体" w:hAnsi="宋体"/>
          <w:b/>
          <w:sz w:val="32"/>
          <w:szCs w:val="32"/>
          <w:lang w:val="en-US" w:eastAsia="zh-CN"/>
        </w:rPr>
        <w:t>五</w:t>
      </w:r>
      <w:r>
        <w:rPr>
          <w:rFonts w:hint="eastAsia" w:ascii="宋体" w:hAnsi="宋体"/>
          <w:b/>
          <w:sz w:val="32"/>
          <w:szCs w:val="32"/>
        </w:rPr>
        <w:t>章 采购响应文件格式</w:t>
      </w:r>
    </w:p>
    <w:p>
      <w:pPr>
        <w:pStyle w:val="5"/>
        <w:spacing w:before="156" w:after="156" w:line="360" w:lineRule="auto"/>
        <w:ind w:firstLine="480" w:firstLineChars="200"/>
        <w:rPr>
          <w:rFonts w:hAnsi="宋体" w:cs="宋体"/>
        </w:rPr>
      </w:pPr>
      <w:r>
        <w:rPr>
          <w:rFonts w:hint="eastAsia" w:hAnsi="宋体" w:cs="宋体"/>
        </w:rPr>
        <w:t>说明：</w:t>
      </w:r>
    </w:p>
    <w:p>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pPr>
        <w:spacing w:line="360" w:lineRule="auto"/>
        <w:ind w:firstLine="2731" w:firstLineChars="850"/>
        <w:rPr>
          <w:rFonts w:ascii="宋体" w:hAnsi="宋体"/>
          <w:b/>
          <w:sz w:val="32"/>
          <w:szCs w:val="32"/>
        </w:rPr>
      </w:pPr>
    </w:p>
    <w:p>
      <w:pPr>
        <w:widowControl/>
        <w:jc w:val="left"/>
        <w:rPr>
          <w:rFonts w:ascii="Times New Roman" w:hAnsi="Times New Roman"/>
          <w:b/>
          <w:bCs/>
          <w:sz w:val="32"/>
          <w:szCs w:val="40"/>
        </w:rPr>
      </w:pPr>
      <w:r>
        <w:rPr>
          <w:rFonts w:ascii="Times New Roman" w:hAnsi="Times New Roman"/>
          <w:b/>
          <w:bCs/>
          <w:sz w:val="32"/>
          <w:szCs w:val="40"/>
        </w:rPr>
        <w:br w:type="page"/>
      </w:r>
    </w:p>
    <w:p>
      <w:pPr>
        <w:rPr>
          <w:rFonts w:ascii="Times New Roman" w:hAnsi="Times New Roman"/>
          <w:b/>
          <w:bCs/>
          <w:kern w:val="0"/>
          <w:sz w:val="44"/>
          <w:szCs w:val="28"/>
        </w:rPr>
      </w:pPr>
      <w:r>
        <w:rPr>
          <w:rFonts w:ascii="Times New Roman" w:hAnsi="Times New Roman"/>
          <w:b/>
          <w:bCs/>
          <w:sz w:val="32"/>
          <w:szCs w:val="40"/>
        </w:rPr>
        <w:t>封面</w:t>
      </w:r>
    </w:p>
    <w:p>
      <w:pPr>
        <w:tabs>
          <w:tab w:val="left" w:pos="2580"/>
          <w:tab w:val="left" w:pos="5940"/>
        </w:tabs>
        <w:autoSpaceDE w:val="0"/>
        <w:autoSpaceDN w:val="0"/>
        <w:adjustRightInd w:val="0"/>
        <w:spacing w:line="300" w:lineRule="auto"/>
        <w:ind w:right="-20" w:firstLine="735" w:firstLineChars="350"/>
        <w:rPr>
          <w:rFonts w:ascii="Times New Roman" w:hAnsi="Times New Roman"/>
        </w:rPr>
      </w:pPr>
    </w:p>
    <w:p>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pPr>
        <w:tabs>
          <w:tab w:val="left" w:pos="2580"/>
          <w:tab w:val="left" w:pos="5940"/>
        </w:tabs>
        <w:autoSpaceDE w:val="0"/>
        <w:autoSpaceDN w:val="0"/>
        <w:adjustRightInd w:val="0"/>
        <w:spacing w:line="300" w:lineRule="auto"/>
        <w:ind w:right="-20"/>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pPr>
        <w:tabs>
          <w:tab w:val="left" w:pos="1805"/>
          <w:tab w:val="left" w:pos="5360"/>
        </w:tabs>
        <w:autoSpaceDE w:val="0"/>
        <w:autoSpaceDN w:val="0"/>
        <w:adjustRightInd w:val="0"/>
        <w:spacing w:line="300" w:lineRule="auto"/>
        <w:ind w:right="-20"/>
        <w:jc w:val="center"/>
        <w:rPr>
          <w:rFonts w:ascii="Times New Roman" w:hAnsi="Times New Roman"/>
          <w:sz w:val="72"/>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pPr>
        <w:widowControl/>
        <w:jc w:val="left"/>
        <w:rPr>
          <w:rFonts w:ascii="Times New Roman" w:hAnsi="Times New Roman"/>
          <w:sz w:val="28"/>
        </w:rPr>
      </w:pPr>
      <w:r>
        <w:rPr>
          <w:rFonts w:ascii="Times New Roman" w:hAnsi="Times New Roman"/>
          <w:sz w:val="28"/>
        </w:rPr>
        <w:br w:type="page"/>
      </w:r>
    </w:p>
    <w:p>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医保收费明细表（附件）</w:t>
      </w:r>
    </w:p>
    <w:p>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pPr>
        <w:widowControl/>
        <w:jc w:val="left"/>
        <w:rPr>
          <w:rFonts w:ascii="宋体" w:hAnsi="宋体"/>
          <w:color w:val="000000"/>
          <w:sz w:val="24"/>
          <w:szCs w:val="24"/>
        </w:rPr>
      </w:pPr>
    </w:p>
    <w:p>
      <w:pPr>
        <w:widowControl/>
        <w:jc w:val="left"/>
        <w:rPr>
          <w:rFonts w:ascii="宋体" w:hAnsi="宋体"/>
          <w:b/>
          <w:bCs/>
          <w:sz w:val="28"/>
          <w:szCs w:val="28"/>
        </w:rPr>
      </w:pPr>
      <w:r>
        <w:rPr>
          <w:rFonts w:ascii="宋体" w:hAnsi="宋体"/>
          <w:b/>
          <w:bCs/>
          <w:sz w:val="28"/>
          <w:szCs w:val="28"/>
        </w:rPr>
        <w:br w:type="page"/>
      </w:r>
    </w:p>
    <w:p>
      <w:pPr>
        <w:widowControl/>
        <w:jc w:val="left"/>
        <w:rPr>
          <w:rFonts w:ascii="宋体" w:hAnsi="宋体"/>
          <w:b/>
          <w:bCs/>
          <w:sz w:val="28"/>
          <w:szCs w:val="28"/>
        </w:rPr>
      </w:pPr>
      <w:r>
        <w:rPr>
          <w:rFonts w:ascii="宋体" w:hAnsi="宋体"/>
          <w:b/>
          <w:bCs/>
          <w:sz w:val="28"/>
          <w:szCs w:val="28"/>
        </w:rPr>
        <w:t>附件</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2"/>
        <w:gridCol w:w="1382"/>
        <w:gridCol w:w="1383"/>
        <w:gridCol w:w="1383"/>
        <w:gridCol w:w="1383"/>
        <w:gridCol w:w="13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vAlign w:val="center"/>
          </w:tcPr>
          <w:p>
            <w:pPr>
              <w:widowControl/>
              <w:jc w:val="center"/>
              <w:rPr>
                <w:rFonts w:ascii="宋体" w:hAnsi="宋体"/>
                <w:b/>
                <w:bCs/>
                <w:kern w:val="0"/>
                <w:sz w:val="24"/>
                <w:szCs w:val="28"/>
              </w:rPr>
            </w:pPr>
            <w:r>
              <w:rPr>
                <w:rFonts w:hint="eastAsia" w:ascii="宋体" w:hAnsi="宋体"/>
                <w:b/>
                <w:bCs/>
                <w:kern w:val="0"/>
                <w:sz w:val="24"/>
                <w:szCs w:val="28"/>
              </w:rPr>
              <w:t>收费编码</w:t>
            </w:r>
          </w:p>
        </w:tc>
        <w:tc>
          <w:tcPr>
            <w:tcW w:w="1382" w:type="dxa"/>
            <w:vAlign w:val="center"/>
          </w:tcPr>
          <w:p>
            <w:pPr>
              <w:widowControl/>
              <w:jc w:val="center"/>
              <w:rPr>
                <w:rFonts w:ascii="宋体" w:hAnsi="宋体"/>
                <w:b/>
                <w:bCs/>
                <w:kern w:val="0"/>
                <w:sz w:val="24"/>
                <w:szCs w:val="28"/>
              </w:rPr>
            </w:pPr>
            <w:r>
              <w:rPr>
                <w:rFonts w:hint="eastAsia" w:ascii="宋体" w:hAnsi="宋体"/>
                <w:b/>
                <w:bCs/>
                <w:kern w:val="0"/>
                <w:sz w:val="24"/>
                <w:szCs w:val="28"/>
              </w:rPr>
              <w:t>收费项目名称</w:t>
            </w:r>
          </w:p>
        </w:tc>
        <w:tc>
          <w:tcPr>
            <w:tcW w:w="1383" w:type="dxa"/>
            <w:vAlign w:val="center"/>
          </w:tcPr>
          <w:p>
            <w:pPr>
              <w:widowControl/>
              <w:jc w:val="center"/>
              <w:rPr>
                <w:rFonts w:ascii="宋体" w:hAnsi="宋体"/>
                <w:b/>
                <w:bCs/>
                <w:kern w:val="0"/>
                <w:sz w:val="24"/>
                <w:szCs w:val="28"/>
              </w:rPr>
            </w:pPr>
            <w:r>
              <w:rPr>
                <w:rFonts w:hint="eastAsia" w:ascii="宋体" w:hAnsi="宋体"/>
                <w:b/>
                <w:bCs/>
                <w:kern w:val="0"/>
                <w:sz w:val="24"/>
                <w:szCs w:val="28"/>
              </w:rPr>
              <w:t>是否可收材料费</w:t>
            </w:r>
          </w:p>
        </w:tc>
        <w:tc>
          <w:tcPr>
            <w:tcW w:w="1383" w:type="dxa"/>
            <w:vAlign w:val="center"/>
          </w:tcPr>
          <w:p>
            <w:pPr>
              <w:widowControl/>
              <w:jc w:val="center"/>
              <w:rPr>
                <w:rFonts w:ascii="宋体" w:hAnsi="宋体"/>
                <w:b/>
                <w:bCs/>
                <w:kern w:val="0"/>
                <w:sz w:val="24"/>
                <w:szCs w:val="28"/>
              </w:rPr>
            </w:pPr>
            <w:r>
              <w:rPr>
                <w:rFonts w:hint="eastAsia" w:ascii="宋体" w:hAnsi="宋体"/>
                <w:b/>
                <w:bCs/>
                <w:kern w:val="0"/>
                <w:sz w:val="24"/>
                <w:szCs w:val="28"/>
              </w:rPr>
              <w:t>计价单位</w:t>
            </w:r>
          </w:p>
        </w:tc>
        <w:tc>
          <w:tcPr>
            <w:tcW w:w="1383" w:type="dxa"/>
            <w:vAlign w:val="center"/>
          </w:tcPr>
          <w:p>
            <w:pPr>
              <w:widowControl/>
              <w:jc w:val="center"/>
              <w:rPr>
                <w:rFonts w:ascii="宋体" w:hAnsi="宋体"/>
                <w:b/>
                <w:bCs/>
                <w:kern w:val="0"/>
                <w:sz w:val="24"/>
                <w:szCs w:val="28"/>
              </w:rPr>
            </w:pPr>
            <w:r>
              <w:rPr>
                <w:rFonts w:hint="eastAsia" w:ascii="宋体" w:hAnsi="宋体"/>
                <w:b/>
                <w:bCs/>
                <w:kern w:val="0"/>
                <w:sz w:val="24"/>
                <w:szCs w:val="28"/>
              </w:rPr>
              <w:t>收费价格</w:t>
            </w:r>
          </w:p>
        </w:tc>
        <w:tc>
          <w:tcPr>
            <w:tcW w:w="1383" w:type="dxa"/>
            <w:vAlign w:val="center"/>
          </w:tcPr>
          <w:p>
            <w:pPr>
              <w:widowControl/>
              <w:rPr>
                <w:rFonts w:ascii="宋体" w:hAnsi="宋体"/>
                <w:b/>
                <w:bCs/>
                <w:kern w:val="0"/>
                <w:sz w:val="24"/>
                <w:szCs w:val="28"/>
              </w:rPr>
            </w:pPr>
            <w:r>
              <w:rPr>
                <w:rFonts w:hint="eastAsia" w:ascii="宋体" w:hAnsi="宋体"/>
                <w:b/>
                <w:bCs/>
                <w:kern w:val="0"/>
                <w:sz w:val="24"/>
                <w:szCs w:val="28"/>
              </w:rPr>
              <w:t>收费类别（甲、乙、丙）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vAlign w:val="center"/>
          </w:tcPr>
          <w:p>
            <w:pPr>
              <w:widowControl/>
              <w:jc w:val="center"/>
              <w:rPr>
                <w:rFonts w:ascii="宋体" w:hAnsi="宋体"/>
                <w:b/>
                <w:bCs/>
                <w:kern w:val="0"/>
                <w:sz w:val="24"/>
                <w:szCs w:val="28"/>
              </w:rPr>
            </w:pPr>
          </w:p>
        </w:tc>
        <w:tc>
          <w:tcPr>
            <w:tcW w:w="1382" w:type="dxa"/>
            <w:vAlign w:val="center"/>
          </w:tcPr>
          <w:p>
            <w:pPr>
              <w:widowControl/>
              <w:jc w:val="center"/>
              <w:rPr>
                <w:rFonts w:ascii="宋体" w:hAnsi="宋体"/>
                <w:b/>
                <w:bCs/>
                <w:kern w:val="0"/>
                <w:sz w:val="24"/>
                <w:szCs w:val="28"/>
              </w:rPr>
            </w:pPr>
          </w:p>
        </w:tc>
        <w:tc>
          <w:tcPr>
            <w:tcW w:w="1383" w:type="dxa"/>
            <w:vAlign w:val="center"/>
          </w:tcPr>
          <w:p>
            <w:pPr>
              <w:widowControl/>
              <w:jc w:val="center"/>
              <w:rPr>
                <w:rFonts w:ascii="宋体" w:hAnsi="宋体"/>
                <w:b/>
                <w:bCs/>
                <w:kern w:val="0"/>
                <w:sz w:val="24"/>
                <w:szCs w:val="28"/>
              </w:rPr>
            </w:pPr>
          </w:p>
        </w:tc>
        <w:tc>
          <w:tcPr>
            <w:tcW w:w="1383" w:type="dxa"/>
            <w:vAlign w:val="center"/>
          </w:tcPr>
          <w:p>
            <w:pPr>
              <w:widowControl/>
              <w:jc w:val="center"/>
              <w:rPr>
                <w:rFonts w:ascii="宋体" w:hAnsi="宋体"/>
                <w:b/>
                <w:bCs/>
                <w:kern w:val="0"/>
                <w:sz w:val="24"/>
                <w:szCs w:val="28"/>
              </w:rPr>
            </w:pPr>
          </w:p>
        </w:tc>
        <w:tc>
          <w:tcPr>
            <w:tcW w:w="1383" w:type="dxa"/>
            <w:vAlign w:val="center"/>
          </w:tcPr>
          <w:p>
            <w:pPr>
              <w:widowControl/>
              <w:jc w:val="center"/>
              <w:rPr>
                <w:rFonts w:ascii="宋体" w:hAnsi="宋体"/>
                <w:b/>
                <w:bCs/>
                <w:kern w:val="0"/>
                <w:sz w:val="24"/>
                <w:szCs w:val="28"/>
              </w:rPr>
            </w:pPr>
          </w:p>
        </w:tc>
        <w:tc>
          <w:tcPr>
            <w:tcW w:w="1383" w:type="dxa"/>
            <w:vAlign w:val="center"/>
          </w:tcPr>
          <w:p>
            <w:pPr>
              <w:widowControl/>
              <w:jc w:val="center"/>
              <w:rPr>
                <w:rFonts w:ascii="宋体" w:hAnsi="宋体"/>
                <w:b/>
                <w:bCs/>
                <w:kern w:val="0"/>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vAlign w:val="center"/>
          </w:tcPr>
          <w:p>
            <w:pPr>
              <w:widowControl/>
              <w:jc w:val="center"/>
              <w:rPr>
                <w:rFonts w:ascii="宋体" w:hAnsi="宋体"/>
                <w:b/>
                <w:bCs/>
                <w:kern w:val="0"/>
                <w:sz w:val="24"/>
                <w:szCs w:val="28"/>
              </w:rPr>
            </w:pPr>
          </w:p>
        </w:tc>
        <w:tc>
          <w:tcPr>
            <w:tcW w:w="1382" w:type="dxa"/>
            <w:vAlign w:val="center"/>
          </w:tcPr>
          <w:p>
            <w:pPr>
              <w:widowControl/>
              <w:jc w:val="center"/>
              <w:rPr>
                <w:rFonts w:ascii="宋体" w:hAnsi="宋体"/>
                <w:b/>
                <w:bCs/>
                <w:kern w:val="0"/>
                <w:sz w:val="24"/>
                <w:szCs w:val="28"/>
              </w:rPr>
            </w:pPr>
          </w:p>
        </w:tc>
        <w:tc>
          <w:tcPr>
            <w:tcW w:w="1383" w:type="dxa"/>
            <w:vAlign w:val="center"/>
          </w:tcPr>
          <w:p>
            <w:pPr>
              <w:widowControl/>
              <w:jc w:val="center"/>
              <w:rPr>
                <w:rFonts w:ascii="宋体" w:hAnsi="宋体"/>
                <w:b/>
                <w:bCs/>
                <w:kern w:val="0"/>
                <w:sz w:val="24"/>
                <w:szCs w:val="28"/>
              </w:rPr>
            </w:pPr>
          </w:p>
        </w:tc>
        <w:tc>
          <w:tcPr>
            <w:tcW w:w="1383" w:type="dxa"/>
            <w:vAlign w:val="center"/>
          </w:tcPr>
          <w:p>
            <w:pPr>
              <w:widowControl/>
              <w:jc w:val="center"/>
              <w:rPr>
                <w:rFonts w:ascii="宋体" w:hAnsi="宋体"/>
                <w:b/>
                <w:bCs/>
                <w:kern w:val="0"/>
                <w:sz w:val="24"/>
                <w:szCs w:val="28"/>
              </w:rPr>
            </w:pPr>
          </w:p>
        </w:tc>
        <w:tc>
          <w:tcPr>
            <w:tcW w:w="1383" w:type="dxa"/>
            <w:vAlign w:val="center"/>
          </w:tcPr>
          <w:p>
            <w:pPr>
              <w:widowControl/>
              <w:jc w:val="center"/>
              <w:rPr>
                <w:rFonts w:ascii="宋体" w:hAnsi="宋体"/>
                <w:b/>
                <w:bCs/>
                <w:kern w:val="0"/>
                <w:sz w:val="24"/>
                <w:szCs w:val="28"/>
              </w:rPr>
            </w:pPr>
          </w:p>
        </w:tc>
        <w:tc>
          <w:tcPr>
            <w:tcW w:w="1383" w:type="dxa"/>
            <w:vAlign w:val="center"/>
          </w:tcPr>
          <w:p>
            <w:pPr>
              <w:widowControl/>
              <w:jc w:val="center"/>
              <w:rPr>
                <w:rFonts w:ascii="宋体" w:hAnsi="宋体"/>
                <w:b/>
                <w:bCs/>
                <w:kern w:val="0"/>
                <w:sz w:val="24"/>
                <w:szCs w:val="28"/>
              </w:rPr>
            </w:pPr>
          </w:p>
        </w:tc>
      </w:tr>
    </w:tbl>
    <w:p>
      <w:pPr>
        <w:widowControl/>
        <w:jc w:val="left"/>
        <w:rPr>
          <w:rFonts w:ascii="宋体" w:hAnsi="宋体"/>
          <w:b/>
          <w:bCs/>
          <w:sz w:val="28"/>
          <w:szCs w:val="28"/>
        </w:rPr>
      </w:pPr>
    </w:p>
    <w:p>
      <w:pPr>
        <w:widowControl/>
        <w:jc w:val="left"/>
        <w:rPr>
          <w:rFonts w:ascii="宋体" w:hAnsi="宋体"/>
          <w:b/>
          <w:bCs/>
          <w:sz w:val="28"/>
          <w:szCs w:val="28"/>
        </w:rPr>
      </w:pPr>
      <w:r>
        <w:rPr>
          <w:rFonts w:ascii="宋体" w:hAnsi="宋体"/>
          <w:b/>
          <w:bCs/>
          <w:sz w:val="28"/>
          <w:szCs w:val="28"/>
        </w:rPr>
        <w:br w:type="page"/>
      </w:r>
    </w:p>
    <w:p>
      <w:pPr>
        <w:widowControl/>
        <w:jc w:val="left"/>
        <w:rPr>
          <w:rFonts w:ascii="宋体" w:hAnsi="宋体"/>
          <w:b/>
          <w:bCs/>
          <w:sz w:val="28"/>
          <w:szCs w:val="28"/>
        </w:rPr>
      </w:pPr>
      <w:r>
        <w:rPr>
          <w:rFonts w:ascii="宋体" w:hAnsi="宋体"/>
          <w:b/>
          <w:bCs/>
          <w:sz w:val="28"/>
          <w:szCs w:val="28"/>
        </w:rPr>
        <w:t>附件一</w:t>
      </w:r>
    </w:p>
    <w:p>
      <w:pPr>
        <w:widowControl/>
        <w:jc w:val="center"/>
        <w:rPr>
          <w:rFonts w:ascii="宋体" w:hAnsi="宋体"/>
          <w:b/>
          <w:bCs/>
          <w:sz w:val="28"/>
          <w:szCs w:val="28"/>
        </w:rPr>
      </w:pPr>
      <w:r>
        <w:rPr>
          <w:rFonts w:ascii="宋体" w:hAnsi="宋体"/>
          <w:b/>
          <w:bCs/>
          <w:sz w:val="28"/>
          <w:szCs w:val="28"/>
        </w:rPr>
        <w:t>资格证明文件</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pPr>
        <w:widowControl/>
        <w:jc w:val="left"/>
        <w:rPr>
          <w:rFonts w:ascii="宋体" w:hAnsi="宋体" w:cs="宋体" w:eastAsiaTheme="minorEastAsia"/>
          <w:szCs w:val="21"/>
          <w:highlight w:val="lightGray"/>
        </w:rPr>
      </w:pPr>
      <w:r>
        <w:rPr>
          <w:rFonts w:cs="宋体"/>
          <w:szCs w:val="21"/>
          <w:highlight w:val="lightGray"/>
        </w:rPr>
        <w:br w:type="page"/>
      </w:r>
    </w:p>
    <w:p>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pPr>
        <w:pStyle w:val="9"/>
        <w:adjustRightInd w:val="0"/>
        <w:snapToGrid w:val="0"/>
        <w:spacing w:before="0" w:beforeAutospacing="0" w:after="0" w:afterAutospacing="0" w:line="360" w:lineRule="auto"/>
        <w:ind w:left="420" w:leftChars="200"/>
        <w:rPr>
          <w:rFonts w:cs="宋体"/>
          <w:sz w:val="21"/>
          <w:szCs w:val="21"/>
        </w:rPr>
      </w:pPr>
    </w:p>
    <w:p>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pPr>
        <w:spacing w:line="480" w:lineRule="auto"/>
        <w:rPr>
          <w:rFonts w:ascii="宋体" w:hAnsi="宋体" w:cs="宋体"/>
          <w:szCs w:val="21"/>
          <w:u w:val="single"/>
        </w:rPr>
      </w:pPr>
    </w:p>
    <w:p>
      <w:pPr>
        <w:spacing w:line="480" w:lineRule="auto"/>
        <w:rPr>
          <w:rFonts w:ascii="宋体" w:hAnsi="宋体" w:cs="宋体"/>
          <w:sz w:val="24"/>
          <w:szCs w:val="24"/>
          <w:u w:val="single"/>
        </w:rPr>
      </w:pPr>
      <w:r>
        <w:rPr>
          <w:rFonts w:hint="eastAsia" w:ascii="宋体" w:hAnsi="宋体" w:cs="宋体"/>
          <w:sz w:val="24"/>
          <w:szCs w:val="24"/>
          <w:u w:val="single"/>
        </w:rPr>
        <w:t>（采购人）：</w:t>
      </w:r>
    </w:p>
    <w:p>
      <w:pPr>
        <w:pStyle w:val="9"/>
        <w:spacing w:before="0" w:beforeAutospacing="0" w:after="0" w:afterAutospacing="0" w:line="480" w:lineRule="auto"/>
        <w:ind w:firstLine="960" w:firstLineChars="400"/>
        <w:rPr>
          <w:rFonts w:cs="宋体"/>
          <w:szCs w:val="24"/>
        </w:rPr>
      </w:pPr>
    </w:p>
    <w:p>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pPr>
        <w:pStyle w:val="9"/>
        <w:spacing w:before="0" w:beforeAutospacing="0" w:after="0" w:afterAutospacing="0" w:line="480" w:lineRule="auto"/>
        <w:ind w:firstLine="480" w:firstLineChars="200"/>
        <w:rPr>
          <w:rFonts w:cs="宋体"/>
          <w:szCs w:val="24"/>
        </w:rPr>
      </w:pPr>
    </w:p>
    <w:p>
      <w:pPr>
        <w:pStyle w:val="9"/>
        <w:spacing w:before="0" w:beforeAutospacing="0" w:after="0" w:afterAutospacing="0" w:line="480" w:lineRule="auto"/>
        <w:ind w:firstLine="482" w:firstLineChars="200"/>
        <w:rPr>
          <w:rFonts w:cs="宋体"/>
          <w:b/>
          <w:bCs/>
          <w:szCs w:val="24"/>
        </w:rPr>
      </w:pPr>
    </w:p>
    <w:p>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pPr>
        <w:widowControl/>
        <w:jc w:val="left"/>
        <w:rPr>
          <w:rFonts w:ascii="宋体" w:hAnsi="宋体" w:cs="宋体"/>
          <w:b/>
          <w:bCs/>
          <w:szCs w:val="21"/>
        </w:rPr>
      </w:pPr>
      <w:r>
        <w:rPr>
          <w:rFonts w:ascii="宋体" w:hAnsi="宋体" w:cs="宋体"/>
          <w:szCs w:val="21"/>
        </w:rPr>
        <w:br w:type="page"/>
      </w:r>
    </w:p>
    <w:p>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01" w:type="dxa"/>
          </w:tcPr>
          <w:p>
            <w:pPr>
              <w:widowControl/>
              <w:autoSpaceDE w:val="0"/>
              <w:autoSpaceDN w:val="0"/>
              <w:jc w:val="center"/>
              <w:textAlignment w:val="bottom"/>
              <w:rPr>
                <w:rFonts w:ascii="Times New Roman" w:hAnsi="Times New Roman"/>
                <w:sz w:val="24"/>
              </w:rPr>
            </w:pPr>
          </w:p>
          <w:p>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pPr>
              <w:widowControl/>
              <w:autoSpaceDE w:val="0"/>
              <w:autoSpaceDN w:val="0"/>
              <w:ind w:left="390"/>
              <w:textAlignment w:val="bottom"/>
              <w:rPr>
                <w:rFonts w:ascii="Times New Roman" w:hAnsi="Times New Roman"/>
                <w:sz w:val="24"/>
              </w:rPr>
            </w:pPr>
          </w:p>
          <w:p>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pPr>
              <w:widowControl/>
              <w:autoSpaceDE w:val="0"/>
              <w:autoSpaceDN w:val="0"/>
              <w:spacing w:line="360" w:lineRule="auto"/>
              <w:ind w:left="390"/>
              <w:textAlignment w:val="bottom"/>
              <w:rPr>
                <w:rFonts w:ascii="Times New Roman" w:hAnsi="Times New Roman"/>
                <w:sz w:val="24"/>
              </w:rPr>
            </w:pPr>
          </w:p>
          <w:p>
            <w:pPr>
              <w:spacing w:line="360" w:lineRule="auto"/>
              <w:ind w:firstLine="405"/>
              <w:rPr>
                <w:rFonts w:ascii="Times New Roman" w:hAnsi="Times New Roman"/>
                <w:sz w:val="24"/>
              </w:rPr>
            </w:pPr>
            <w:r>
              <w:rPr>
                <w:rFonts w:ascii="Times New Roman" w:hAnsi="Times New Roman"/>
                <w:sz w:val="24"/>
              </w:rPr>
              <w:t>供应商全称（盖单位公章）：</w:t>
            </w:r>
          </w:p>
          <w:p>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pPr>
              <w:spacing w:line="360" w:lineRule="auto"/>
              <w:ind w:firstLine="405"/>
              <w:rPr>
                <w:rFonts w:ascii="Times New Roman" w:hAnsi="Times New Roman"/>
                <w:sz w:val="24"/>
              </w:rPr>
            </w:pPr>
            <w:r>
              <w:rPr>
                <w:rFonts w:ascii="Times New Roman" w:hAnsi="Times New Roman"/>
                <w:sz w:val="24"/>
              </w:rPr>
              <w:t>查询日期：</w:t>
            </w:r>
          </w:p>
          <w:p>
            <w:pPr>
              <w:spacing w:line="360" w:lineRule="auto"/>
              <w:ind w:firstLine="405"/>
              <w:rPr>
                <w:rFonts w:ascii="Times New Roman" w:hAnsi="Times New Roman"/>
                <w:sz w:val="24"/>
              </w:rPr>
            </w:pPr>
          </w:p>
          <w:p>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pPr>
        <w:pStyle w:val="15"/>
        <w:snapToGrid w:val="0"/>
        <w:spacing w:line="360" w:lineRule="auto"/>
        <w:ind w:left="426" w:firstLine="0" w:firstLineChars="0"/>
        <w:jc w:val="left"/>
        <w:rPr>
          <w:sz w:val="24"/>
          <w:szCs w:val="32"/>
        </w:rPr>
      </w:pPr>
    </w:p>
    <w:p>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pPr>
        <w:spacing w:line="360" w:lineRule="auto"/>
        <w:rPr>
          <w:rFonts w:ascii="Times New Roman" w:hAnsi="Times New Roman"/>
          <w:sz w:val="24"/>
          <w:szCs w:val="32"/>
        </w:rPr>
      </w:pPr>
    </w:p>
    <w:p>
      <w:pPr>
        <w:widowControl/>
        <w:jc w:val="left"/>
        <w:rPr>
          <w:rFonts w:ascii="宋体" w:hAnsi="宋体"/>
          <w:sz w:val="28"/>
          <w:szCs w:val="28"/>
        </w:rPr>
      </w:pPr>
      <w:r>
        <w:rPr>
          <w:rFonts w:ascii="宋体" w:hAnsi="宋体"/>
          <w:b/>
          <w:bCs/>
          <w:sz w:val="28"/>
          <w:szCs w:val="28"/>
        </w:rPr>
        <w:br w:type="page"/>
      </w:r>
    </w:p>
    <w:p>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pPr>
        <w:pStyle w:val="9"/>
        <w:adjustRightInd w:val="0"/>
        <w:snapToGrid w:val="0"/>
        <w:spacing w:before="0" w:beforeAutospacing="0" w:after="0" w:afterAutospacing="0" w:line="360" w:lineRule="auto"/>
        <w:jc w:val="center"/>
        <w:rPr>
          <w:rFonts w:cs="宋体"/>
          <w:sz w:val="32"/>
          <w:szCs w:val="32"/>
        </w:rPr>
      </w:pPr>
    </w:p>
    <w:p>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pPr>
        <w:pStyle w:val="15"/>
        <w:spacing w:line="480" w:lineRule="auto"/>
        <w:ind w:left="420" w:firstLine="0" w:firstLineChars="0"/>
        <w:rPr>
          <w:rFonts w:ascii="Times New Roman" w:hAnsi="Times New Roman"/>
          <w:sz w:val="24"/>
        </w:rPr>
      </w:pPr>
      <w:r>
        <w:rPr>
          <w:rFonts w:ascii="Times New Roman" w:hAnsi="Times New Roman"/>
          <w:sz w:val="24"/>
        </w:rPr>
        <w:t>特此声明！</w:t>
      </w:r>
    </w:p>
    <w:p>
      <w:pPr>
        <w:pStyle w:val="15"/>
        <w:spacing w:line="480" w:lineRule="auto"/>
        <w:ind w:left="420" w:firstLine="0" w:firstLineChars="0"/>
        <w:rPr>
          <w:rFonts w:ascii="Times New Roman" w:hAnsi="Times New Roman"/>
          <w:sz w:val="24"/>
        </w:rPr>
      </w:pPr>
    </w:p>
    <w:p>
      <w:pPr>
        <w:pStyle w:val="15"/>
        <w:spacing w:line="480" w:lineRule="auto"/>
        <w:ind w:left="420" w:firstLine="0" w:firstLineChars="0"/>
        <w:rPr>
          <w:rFonts w:ascii="Times New Roman" w:hAnsi="Times New Roman"/>
          <w:sz w:val="24"/>
        </w:rPr>
      </w:pPr>
    </w:p>
    <w:p>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pPr>
        <w:pStyle w:val="3"/>
        <w:ind w:firstLine="630" w:firstLineChars="196"/>
        <w:rPr>
          <w:rFonts w:ascii="宋体" w:hAnsi="宋体" w:eastAsia="宋体" w:cs="宋体"/>
          <w:szCs w:val="21"/>
        </w:rPr>
      </w:pPr>
    </w:p>
    <w:p>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pPr>
        <w:rPr>
          <w:rFonts w:ascii="宋体" w:hAnsi="宋体" w:cs="宋体"/>
          <w:szCs w:val="21"/>
        </w:rPr>
      </w:pPr>
    </w:p>
    <w:p>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pPr>
        <w:spacing w:line="360" w:lineRule="auto"/>
        <w:ind w:right="960"/>
        <w:jc w:val="right"/>
        <w:rPr>
          <w:rFonts w:ascii="宋体" w:hAnsi="宋体" w:cs="宋体"/>
          <w:szCs w:val="21"/>
        </w:rPr>
      </w:pPr>
    </w:p>
    <w:p>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pPr>
        <w:spacing w:line="360" w:lineRule="auto"/>
        <w:ind w:right="960"/>
        <w:jc w:val="right"/>
        <w:rPr>
          <w:rFonts w:ascii="宋体" w:hAnsi="宋体" w:cs="宋体"/>
          <w:sz w:val="24"/>
          <w:szCs w:val="21"/>
        </w:rPr>
      </w:pPr>
      <w:r>
        <w:rPr>
          <w:rFonts w:hint="eastAsia" w:ascii="宋体" w:hAnsi="宋体" w:cs="宋体"/>
          <w:sz w:val="24"/>
          <w:szCs w:val="21"/>
        </w:rPr>
        <w:t xml:space="preserve">       </w:t>
      </w:r>
    </w:p>
    <w:p>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pPr>
        <w:autoSpaceDE w:val="0"/>
        <w:autoSpaceDN w:val="0"/>
        <w:adjustRightInd w:val="0"/>
        <w:ind w:right="480"/>
        <w:jc w:val="right"/>
        <w:rPr>
          <w:rFonts w:ascii="宋体" w:hAnsi="宋体" w:cs="宋体"/>
          <w:szCs w:val="21"/>
        </w:rPr>
      </w:pPr>
    </w:p>
    <w:p>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附件二</w:t>
      </w:r>
    </w:p>
    <w:p>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pPr>
        <w:spacing w:line="360" w:lineRule="auto"/>
        <w:ind w:left="60"/>
        <w:rPr>
          <w:rFonts w:ascii="Times New Roman"/>
          <w:b/>
          <w:sz w:val="18"/>
          <w:szCs w:val="18"/>
        </w:rPr>
      </w:pPr>
    </w:p>
    <w:p>
      <w:pPr>
        <w:spacing w:line="360" w:lineRule="auto"/>
        <w:ind w:left="60"/>
        <w:rPr>
          <w:b/>
          <w:sz w:val="24"/>
          <w:szCs w:val="24"/>
        </w:rPr>
      </w:pPr>
      <w:r>
        <w:rPr>
          <w:rFonts w:hint="eastAsia"/>
          <w:b/>
          <w:sz w:val="24"/>
          <w:szCs w:val="24"/>
        </w:rPr>
        <w:t>浙江医院：</w:t>
      </w:r>
    </w:p>
    <w:p>
      <w:pPr>
        <w:spacing w:line="360" w:lineRule="auto"/>
        <w:ind w:left="60" w:firstLine="360"/>
        <w:rPr>
          <w:sz w:val="24"/>
          <w:szCs w:val="24"/>
        </w:rPr>
      </w:pPr>
      <w:r>
        <w:rPr>
          <w:rFonts w:hint="eastAsia"/>
          <w:sz w:val="24"/>
          <w:szCs w:val="24"/>
        </w:rPr>
        <w:t>本公司本着规范生产，合法经营的原则，特对贵院承诺如下：</w:t>
      </w:r>
    </w:p>
    <w:p>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pPr>
        <w:rPr>
          <w:sz w:val="24"/>
          <w:szCs w:val="24"/>
        </w:rPr>
      </w:pPr>
    </w:p>
    <w:p>
      <w:pPr>
        <w:rPr>
          <w:sz w:val="24"/>
          <w:szCs w:val="24"/>
        </w:rPr>
      </w:pPr>
    </w:p>
    <w:p>
      <w:pPr>
        <w:rPr>
          <w:sz w:val="24"/>
          <w:szCs w:val="24"/>
        </w:rPr>
      </w:pPr>
    </w:p>
    <w:p>
      <w:pPr>
        <w:rPr>
          <w:sz w:val="24"/>
          <w:szCs w:val="24"/>
        </w:rPr>
      </w:pPr>
    </w:p>
    <w:p>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pPr>
        <w:spacing w:line="300" w:lineRule="auto"/>
        <w:rPr>
          <w:rFonts w:ascii="Times New Roman" w:hAnsi="Times New Roman"/>
          <w:sz w:val="24"/>
        </w:rPr>
      </w:pPr>
    </w:p>
    <w:p>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pPr>
        <w:spacing w:line="300" w:lineRule="auto"/>
        <w:rPr>
          <w:rFonts w:ascii="Times New Roman" w:hAnsi="Times New Roman"/>
          <w:spacing w:val="20"/>
          <w:sz w:val="24"/>
        </w:rPr>
      </w:pPr>
    </w:p>
    <w:p>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附件三</w:t>
      </w:r>
    </w:p>
    <w:p>
      <w:pPr>
        <w:jc w:val="center"/>
        <w:rPr>
          <w:rFonts w:ascii="黑体" w:hAnsi="黑体" w:eastAsia="黑体"/>
          <w:b/>
          <w:sz w:val="32"/>
          <w:szCs w:val="32"/>
        </w:rPr>
      </w:pPr>
      <w:r>
        <w:rPr>
          <w:rFonts w:hint="eastAsia" w:ascii="黑体" w:hAnsi="黑体" w:eastAsia="黑体"/>
          <w:b/>
          <w:sz w:val="32"/>
          <w:szCs w:val="32"/>
        </w:rPr>
        <w:t>价格承诺书</w:t>
      </w:r>
    </w:p>
    <w:p/>
    <w:p>
      <w:pPr>
        <w:spacing w:line="360" w:lineRule="auto"/>
        <w:rPr>
          <w:sz w:val="24"/>
          <w:szCs w:val="24"/>
        </w:rPr>
      </w:pPr>
      <w:r>
        <w:rPr>
          <w:rFonts w:hint="eastAsia"/>
          <w:sz w:val="24"/>
          <w:szCs w:val="24"/>
        </w:rPr>
        <w:t>浙江医院：</w:t>
      </w:r>
    </w:p>
    <w:p>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pPr>
        <w:ind w:firstLine="420"/>
        <w:rPr>
          <w:sz w:val="28"/>
        </w:rPr>
      </w:pPr>
    </w:p>
    <w:p>
      <w:pPr>
        <w:ind w:firstLine="420"/>
        <w:rPr>
          <w:sz w:val="28"/>
        </w:rPr>
      </w:pPr>
    </w:p>
    <w:p>
      <w:pPr>
        <w:ind w:firstLine="420"/>
        <w:rPr>
          <w:sz w:val="28"/>
        </w:rPr>
      </w:pPr>
    </w:p>
    <w:p>
      <w:pPr>
        <w:ind w:firstLine="420"/>
        <w:rPr>
          <w:sz w:val="28"/>
        </w:rPr>
      </w:pPr>
    </w:p>
    <w:p>
      <w:pPr>
        <w:ind w:firstLine="420"/>
        <w:rPr>
          <w:sz w:val="28"/>
        </w:rPr>
      </w:pPr>
    </w:p>
    <w:p>
      <w:pPr>
        <w:spacing w:line="360" w:lineRule="auto"/>
        <w:jc w:val="right"/>
        <w:rPr>
          <w:sz w:val="24"/>
          <w:szCs w:val="24"/>
        </w:rPr>
      </w:pPr>
    </w:p>
    <w:p>
      <w:pPr>
        <w:spacing w:line="480" w:lineRule="auto"/>
        <w:jc w:val="left"/>
        <w:rPr>
          <w:sz w:val="24"/>
          <w:szCs w:val="24"/>
        </w:rPr>
      </w:pPr>
      <w:r>
        <w:rPr>
          <w:rFonts w:hint="eastAsia"/>
          <w:sz w:val="24"/>
          <w:szCs w:val="24"/>
        </w:rPr>
        <w:t xml:space="preserve">供应商名称（盖章）： </w:t>
      </w:r>
      <w:r>
        <w:rPr>
          <w:sz w:val="24"/>
          <w:szCs w:val="24"/>
        </w:rPr>
        <w:t xml:space="preserve">                   </w:t>
      </w:r>
    </w:p>
    <w:p>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pPr>
        <w:spacing w:line="300" w:lineRule="auto"/>
        <w:rPr>
          <w:sz w:val="24"/>
          <w:szCs w:val="24"/>
        </w:rPr>
      </w:pPr>
    </w:p>
    <w:p>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pPr>
        <w:ind w:firstLine="420"/>
        <w:rPr>
          <w:rFonts w:ascii="宋体" w:hAnsi="宋体" w:cs="宋体"/>
          <w:color w:val="000000"/>
          <w:kern w:val="0"/>
          <w:sz w:val="22"/>
        </w:rPr>
      </w:pPr>
    </w:p>
    <w:p>
      <w:pPr>
        <w:ind w:firstLine="420"/>
        <w:rPr>
          <w:rFonts w:ascii="宋体" w:hAnsi="宋体" w:cs="宋体"/>
          <w:color w:val="000000"/>
          <w:kern w:val="0"/>
          <w:sz w:val="22"/>
        </w:rPr>
      </w:pPr>
    </w:p>
    <w:p>
      <w:pPr>
        <w:widowControl/>
        <w:jc w:val="left"/>
        <w:rPr>
          <w:rFonts w:ascii="宋体" w:hAnsi="宋体" w:cs="宋体"/>
          <w:color w:val="000000"/>
          <w:kern w:val="0"/>
          <w:sz w:val="22"/>
        </w:rPr>
      </w:pPr>
      <w:r>
        <w:rPr>
          <w:rFonts w:ascii="宋体" w:hAnsi="宋体" w:cs="宋体"/>
          <w:color w:val="000000"/>
          <w:kern w:val="0"/>
          <w:sz w:val="22"/>
        </w:rPr>
        <w:br w:type="page"/>
      </w:r>
    </w:p>
    <w:p>
      <w:pPr>
        <w:widowControl/>
        <w:jc w:val="left"/>
        <w:rPr>
          <w:rFonts w:ascii="宋体" w:hAnsi="宋体"/>
          <w:b/>
          <w:bCs/>
          <w:sz w:val="28"/>
          <w:szCs w:val="28"/>
        </w:rPr>
      </w:pPr>
      <w:r>
        <w:rPr>
          <w:rFonts w:hint="eastAsia" w:ascii="宋体" w:hAnsi="宋体"/>
          <w:b/>
          <w:bCs/>
          <w:sz w:val="28"/>
          <w:szCs w:val="28"/>
        </w:rPr>
        <w:t>附件四</w:t>
      </w:r>
    </w:p>
    <w:p>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pPr>
        <w:jc w:val="center"/>
        <w:rPr>
          <w:rFonts w:ascii="Times New Roman" w:hAnsi="Times New Roman"/>
          <w:b/>
          <w:bCs/>
          <w:sz w:val="32"/>
          <w:szCs w:val="32"/>
        </w:rPr>
      </w:pPr>
      <w:r>
        <w:rPr>
          <w:rFonts w:ascii="Times New Roman" w:hAnsi="Times New Roman"/>
        </w:rPr>
        <w:t>（法定代表人签署时不需提供此书）</w:t>
      </w:r>
    </w:p>
    <w:p>
      <w:pPr>
        <w:spacing w:line="276" w:lineRule="auto"/>
        <w:rPr>
          <w:rFonts w:ascii="Times New Roman" w:hAnsi="Times New Roman"/>
          <w:bCs/>
          <w:sz w:val="24"/>
        </w:rPr>
      </w:pPr>
    </w:p>
    <w:p>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pPr>
        <w:spacing w:line="276" w:lineRule="auto"/>
        <w:ind w:firstLine="480" w:firstLineChars="200"/>
        <w:rPr>
          <w:rFonts w:ascii="Times New Roman" w:hAnsi="Times New Roman"/>
          <w:sz w:val="24"/>
        </w:rPr>
      </w:pPr>
    </w:p>
    <w:p>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pPr>
        <w:spacing w:line="360" w:lineRule="auto"/>
        <w:rPr>
          <w:rFonts w:ascii="Times New Roman" w:hAnsi="Times New Roman"/>
          <w:sz w:val="24"/>
        </w:rPr>
      </w:pPr>
    </w:p>
    <w:p>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pPr>
        <w:spacing w:line="300" w:lineRule="auto"/>
        <w:rPr>
          <w:rFonts w:ascii="Times New Roman" w:hAnsi="Times New Roman"/>
          <w:sz w:val="24"/>
        </w:rPr>
      </w:pPr>
    </w:p>
    <w:p>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pPr>
        <w:spacing w:line="300" w:lineRule="auto"/>
        <w:rPr>
          <w:rFonts w:ascii="Times New Roman" w:hAnsi="Times New Roman"/>
          <w:sz w:val="24"/>
          <w:u w:val="single"/>
        </w:rPr>
      </w:pPr>
    </w:p>
    <w:p>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sz w:val="24"/>
              </w:rPr>
            </w:pPr>
            <w:r>
              <w:rPr>
                <w:rFonts w:ascii="Times New Roman" w:hAnsi="Times New Roman"/>
                <w:sz w:val="24"/>
              </w:rPr>
              <w:t>法定代表人身份证复印件</w:t>
            </w:r>
          </w:p>
          <w:p>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pPr>
              <w:widowControl/>
              <w:jc w:val="left"/>
              <w:rPr>
                <w:rFonts w:ascii="Times New Roman" w:hAnsi="Times New Roman"/>
                <w:sz w:val="24"/>
              </w:rPr>
            </w:pPr>
          </w:p>
          <w:p>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sz w:val="24"/>
              </w:rPr>
            </w:pPr>
            <w:r>
              <w:rPr>
                <w:rFonts w:ascii="Times New Roman" w:hAnsi="Times New Roman"/>
                <w:sz w:val="24"/>
              </w:rPr>
              <w:t>被授权人身份证复印件</w:t>
            </w:r>
          </w:p>
        </w:tc>
      </w:tr>
    </w:tbl>
    <w:p>
      <w:pPr>
        <w:widowControl/>
        <w:autoSpaceDE w:val="0"/>
        <w:autoSpaceDN w:val="0"/>
        <w:spacing w:line="360" w:lineRule="auto"/>
        <w:jc w:val="center"/>
        <w:textAlignment w:val="bottom"/>
        <w:rPr>
          <w:rFonts w:ascii="Times New Roman" w:hAnsi="Times New Roman"/>
          <w:sz w:val="24"/>
        </w:rPr>
      </w:pP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附件五</w:t>
      </w:r>
    </w:p>
    <w:p>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bl>
    <w:p>
      <w:pPr>
        <w:spacing w:line="360" w:lineRule="auto"/>
        <w:rPr>
          <w:rFonts w:ascii="Times New Roman" w:hAnsi="Times New Roman"/>
          <w:sz w:val="24"/>
        </w:rPr>
      </w:pPr>
    </w:p>
    <w:p>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pPr>
        <w:spacing w:line="300" w:lineRule="auto"/>
        <w:rPr>
          <w:rFonts w:ascii="Times New Roman" w:hAnsi="Times New Roman"/>
          <w:sz w:val="24"/>
        </w:rPr>
      </w:pPr>
    </w:p>
    <w:p>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pPr>
        <w:spacing w:line="300" w:lineRule="auto"/>
        <w:rPr>
          <w:rFonts w:ascii="Times New Roman" w:hAnsi="Times New Roman"/>
          <w:spacing w:val="20"/>
          <w:sz w:val="24"/>
        </w:rPr>
      </w:pPr>
    </w:p>
    <w:p>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pPr>
        <w:spacing w:line="300" w:lineRule="auto"/>
        <w:rPr>
          <w:rFonts w:ascii="Times New Roman" w:hAnsi="Times New Roman"/>
          <w:sz w:val="24"/>
        </w:rPr>
      </w:pPr>
    </w:p>
    <w:p>
      <w:pPr>
        <w:spacing w:line="360" w:lineRule="auto"/>
        <w:rPr>
          <w:rFonts w:ascii="Times New Roman" w:hAnsi="Times New Roman"/>
          <w:sz w:val="24"/>
        </w:rPr>
      </w:pPr>
    </w:p>
    <w:p>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pPr>
        <w:rPr>
          <w:rFonts w:ascii="宋体" w:hAnsi="宋体" w:cs="宋体"/>
          <w:color w:val="000000"/>
          <w:kern w:val="0"/>
          <w:sz w:val="22"/>
        </w:rPr>
      </w:pPr>
    </w:p>
    <w:p>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DC30D463"/>
    <w:multiLevelType w:val="singleLevel"/>
    <w:tmpl w:val="DC30D463"/>
    <w:lvl w:ilvl="0" w:tentative="0">
      <w:start w:val="1"/>
      <w:numFmt w:val="decimal"/>
      <w:suff w:val="nothing"/>
      <w:lvlText w:val="（%1）"/>
      <w:lvlJc w:val="left"/>
      <w:pPr>
        <w:ind w:left="240" w:leftChars="0" w:firstLine="0" w:firstLineChars="0"/>
      </w:pPr>
    </w:lvl>
  </w:abstractNum>
  <w:abstractNum w:abstractNumId="2">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3"/>
  </w:num>
  <w:num w:numId="3">
    <w:abstractNumId w:val="2"/>
  </w:num>
  <w:num w:numId="4">
    <w:abstractNumId w:val="1"/>
  </w:num>
  <w:num w:numId="5">
    <w:abstractNumId w:val="4"/>
  </w:num>
  <w:num w:numId="6">
    <w:abstractNumId w:val="5"/>
  </w:num>
  <w:num w:numId="7">
    <w:abstractNumId w:val="8"/>
  </w:num>
  <w:num w:numId="8">
    <w:abstractNumId w:val="0"/>
  </w:num>
  <w:num w:numId="9">
    <w:abstractNumId w:val="7"/>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IxZmRlMjllYTcwNDNkOTA1MDBlOTZiYTE5NGIxOG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732EC"/>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E1EB1"/>
    <w:rsid w:val="004E7E00"/>
    <w:rsid w:val="004F5F38"/>
    <w:rsid w:val="00513284"/>
    <w:rsid w:val="00514542"/>
    <w:rsid w:val="00515DFD"/>
    <w:rsid w:val="00516093"/>
    <w:rsid w:val="005332F9"/>
    <w:rsid w:val="005343B9"/>
    <w:rsid w:val="00540821"/>
    <w:rsid w:val="00546A3A"/>
    <w:rsid w:val="005503CE"/>
    <w:rsid w:val="005617AB"/>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5468"/>
    <w:rsid w:val="00683D90"/>
    <w:rsid w:val="006939D3"/>
    <w:rsid w:val="006A2583"/>
    <w:rsid w:val="006A3C17"/>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498E"/>
    <w:rsid w:val="00C15B5E"/>
    <w:rsid w:val="00C41733"/>
    <w:rsid w:val="00C42FCA"/>
    <w:rsid w:val="00C62BE5"/>
    <w:rsid w:val="00C8109C"/>
    <w:rsid w:val="00C92F75"/>
    <w:rsid w:val="00C9356D"/>
    <w:rsid w:val="00C947DC"/>
    <w:rsid w:val="00C96A96"/>
    <w:rsid w:val="00C97F4A"/>
    <w:rsid w:val="00CA4203"/>
    <w:rsid w:val="00CB0D26"/>
    <w:rsid w:val="00CC2CC8"/>
    <w:rsid w:val="00CC44F5"/>
    <w:rsid w:val="00CC5D90"/>
    <w:rsid w:val="00CD170D"/>
    <w:rsid w:val="00CD34A4"/>
    <w:rsid w:val="00CD3C3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2CE42A20"/>
    <w:rsid w:val="5D8D25D7"/>
    <w:rsid w:val="66664C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ABF43E-8B78-4E2A-AD08-ED6C89733487}">
  <ds:schemaRefs/>
</ds:datastoreItem>
</file>

<file path=docProps/app.xml><?xml version="1.0" encoding="utf-8"?>
<Properties xmlns="http://schemas.openxmlformats.org/officeDocument/2006/extended-properties" xmlns:vt="http://schemas.openxmlformats.org/officeDocument/2006/docPropsVTypes">
  <Template>Normal</Template>
  <Company>Users</Company>
  <Pages>24</Pages>
  <Words>6433</Words>
  <Characters>6819</Characters>
  <Lines>45</Lines>
  <Paragraphs>12</Paragraphs>
  <TotalTime>0</TotalTime>
  <ScaleCrop>false</ScaleCrop>
  <LinksUpToDate>false</LinksUpToDate>
  <CharactersWithSpaces>7350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2023-07-14T05:47:47Z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E0CDCE039D9C46EB95F1759EDD316E2A_13</vt:lpwstr>
  </property>
</Properties>
</file>