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11</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10</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神经介入微导管</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用于脑动脉瘤栓塞治疗，易通过扭曲血管。</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药物洗脱冠脉支架系统</w:t>
            </w:r>
          </w:p>
        </w:tc>
        <w:tc>
          <w:tcPr>
            <w:tcW w:w="5640" w:type="dxa"/>
            <w:shd w:val="clear" w:color="auto" w:fill="auto"/>
            <w:vAlign w:val="center"/>
          </w:tcPr>
          <w:p w14:paraId="31C0E131">
            <w:pPr>
              <w:keepNext w:val="0"/>
              <w:keepLines w:val="0"/>
              <w:widowControl/>
              <w:suppressLineNumbers w:val="0"/>
              <w:jc w:val="both"/>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适用于高出血风险人群，双抗时间短；适用于小血管病变（血管直径≤2.5mm）；适用于左主干病变（血管直径≥4.5mm）</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0F78A99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人工真皮修复材料</w:t>
            </w:r>
          </w:p>
        </w:tc>
        <w:tc>
          <w:tcPr>
            <w:tcW w:w="5640" w:type="dxa"/>
            <w:shd w:val="clear" w:color="auto" w:fill="auto"/>
            <w:vAlign w:val="center"/>
          </w:tcPr>
          <w:p w14:paraId="70E29194">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用于全层皮肤缺损的各类创面治疗，如烧伤、外伤及其他创面引起的真皮全层缺损。</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10</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w:t>
      </w:r>
      <w:r>
        <w:rPr>
          <w:rFonts w:hint="eastAsia"/>
          <w:sz w:val="24"/>
          <w:szCs w:val="24"/>
          <w:lang w:val="en-US" w:eastAsia="zh-CN"/>
        </w:rPr>
        <w:t>及报名产品卫生安全评价报告</w:t>
      </w:r>
      <w:r>
        <w:rPr>
          <w:rFonts w:hint="eastAsia"/>
          <w:sz w:val="24"/>
          <w:szCs w:val="24"/>
        </w:rPr>
        <w:t>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B575546"/>
    <w:rsid w:val="4F751EA3"/>
    <w:rsid w:val="56FB1767"/>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5093</Words>
  <Characters>5407</Characters>
  <Lines>44</Lines>
  <Paragraphs>12</Paragraphs>
  <TotalTime>8</TotalTime>
  <ScaleCrop>false</ScaleCrop>
  <LinksUpToDate>false</LinksUpToDate>
  <CharactersWithSpaces>5927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2024-10-21T09:01:55Z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CDFB26EC00E54028BE70D745B6E8F04A_13</vt:lpwstr>
  </property>
</Properties>
</file>