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项目名称：体外诊断试剂一批</w:t>
      </w:r>
      <w:r>
        <w:rPr>
          <w:rFonts w:hint="eastAsia" w:ascii="黑体" w:hAnsi="黑体" w:eastAsia="黑体"/>
          <w:sz w:val="32"/>
          <w:szCs w:val="32"/>
          <w:lang w:val="en-US" w:eastAsia="zh-CN"/>
        </w:rPr>
        <w:t>(重新招标)</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10</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10</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w:t>
      </w:r>
      <w:r>
        <w:rPr>
          <w:rFonts w:hint="eastAsia" w:ascii="宋体" w:hAnsi="宋体"/>
          <w:color w:val="000000" w:themeColor="text1"/>
          <w:sz w:val="24"/>
          <w:u w:val="single"/>
          <w:lang w:val="en-US" w:eastAsia="zh-CN"/>
        </w:rPr>
        <w:t>10</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3072"/>
        <w:gridCol w:w="4213"/>
      </w:tblGrid>
      <w:tr w14:paraId="3DC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14:paraId="782521DA">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3072" w:type="dxa"/>
            <w:vAlign w:val="center"/>
          </w:tcPr>
          <w:p w14:paraId="1434A370">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213" w:type="dxa"/>
            <w:vAlign w:val="center"/>
          </w:tcPr>
          <w:p w14:paraId="240092D5">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14:paraId="3553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92" w:type="dxa"/>
            <w:vAlign w:val="center"/>
          </w:tcPr>
          <w:p w14:paraId="0DBA3D4A">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1</w:t>
            </w:r>
          </w:p>
        </w:tc>
        <w:tc>
          <w:tcPr>
            <w:tcW w:w="3072" w:type="dxa"/>
            <w:vAlign w:val="center"/>
          </w:tcPr>
          <w:p w14:paraId="13E95DD0">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蛋白C蛋白S活性测定试剂盒</w:t>
            </w:r>
          </w:p>
        </w:tc>
        <w:tc>
          <w:tcPr>
            <w:tcW w:w="4213" w:type="dxa"/>
            <w:vAlign w:val="center"/>
          </w:tcPr>
          <w:p w14:paraId="337619BD">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对遗传性和获得性的蛋白C和蛋白S缺乏患者的诊断及治疗。</w:t>
            </w:r>
          </w:p>
        </w:tc>
      </w:tr>
      <w:tr w14:paraId="58D8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14:paraId="65A60B7F">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2</w:t>
            </w:r>
          </w:p>
        </w:tc>
        <w:tc>
          <w:tcPr>
            <w:tcW w:w="3072" w:type="dxa"/>
            <w:vAlign w:val="center"/>
          </w:tcPr>
          <w:p w14:paraId="20728B0E">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VIII、IX、XI、XII因子活性测定试剂盒</w:t>
            </w:r>
          </w:p>
        </w:tc>
        <w:tc>
          <w:tcPr>
            <w:tcW w:w="4213" w:type="dxa"/>
            <w:vAlign w:val="center"/>
          </w:tcPr>
          <w:p w14:paraId="31883B7B">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对遗传性和获得性的凝血因子缺乏性疾病的诊断及治疗的监测。</w:t>
            </w:r>
          </w:p>
        </w:tc>
      </w:tr>
      <w:tr w14:paraId="0C10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40F609F5">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3</w:t>
            </w:r>
          </w:p>
        </w:tc>
        <w:tc>
          <w:tcPr>
            <w:tcW w:w="3072" w:type="dxa"/>
            <w:vAlign w:val="center"/>
          </w:tcPr>
          <w:p w14:paraId="3E8E4D04">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II、V、VII、X因子活性测定试剂盒</w:t>
            </w:r>
          </w:p>
        </w:tc>
        <w:tc>
          <w:tcPr>
            <w:tcW w:w="4213" w:type="dxa"/>
            <w:vAlign w:val="center"/>
          </w:tcPr>
          <w:p w14:paraId="38DA4094">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对遗传性和获得性的凝血因子缺乏性疾病的诊断及治疗的监测。</w:t>
            </w:r>
          </w:p>
        </w:tc>
      </w:tr>
      <w:tr w14:paraId="6CE1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22F92B79">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4</w:t>
            </w:r>
          </w:p>
        </w:tc>
        <w:tc>
          <w:tcPr>
            <w:tcW w:w="3072" w:type="dxa"/>
            <w:vAlign w:val="center"/>
          </w:tcPr>
          <w:p w14:paraId="4F087DAE">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自身免疫性肌炎抗体谱检测试剂</w:t>
            </w:r>
          </w:p>
        </w:tc>
        <w:tc>
          <w:tcPr>
            <w:tcW w:w="4213" w:type="dxa"/>
            <w:vAlign w:val="center"/>
          </w:tcPr>
          <w:p w14:paraId="1CD12737">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体外检测肌炎抗体，提高临床对于肌炎患者的检出率及肌炎并发症的确诊率，减少误诊、漏诊的发生。特异性强，敏感性好，自动化程度高</w:t>
            </w:r>
          </w:p>
        </w:tc>
      </w:tr>
    </w:tbl>
    <w:p w14:paraId="3939970B">
      <w:pPr>
        <w:spacing w:line="360" w:lineRule="auto"/>
        <w:ind w:left="480"/>
        <w:rPr>
          <w:rFonts w:ascii="宋体" w:hAnsi="宋体"/>
          <w:color w:val="000000" w:themeColor="text1"/>
          <w:sz w:val="24"/>
        </w:rPr>
      </w:pPr>
      <w:r>
        <w:rPr>
          <w:rFonts w:ascii="宋体" w:hAnsi="宋体"/>
          <w:color w:val="000000" w:themeColor="text1"/>
          <w:sz w:val="24"/>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4</w:t>
      </w:r>
      <w:r>
        <w:rPr>
          <w:rFonts w:hint="eastAsia" w:ascii="宋体" w:hAnsi="宋体"/>
          <w:bCs/>
          <w:color w:val="000000" w:themeColor="text1"/>
          <w:sz w:val="24"/>
        </w:rPr>
        <w:t>年</w:t>
      </w:r>
      <w:r>
        <w:rPr>
          <w:rFonts w:hint="eastAsia" w:ascii="宋体" w:hAnsi="宋体"/>
          <w:bCs/>
          <w:color w:val="000000" w:themeColor="text1"/>
          <w:sz w:val="24"/>
          <w:lang w:val="en-US" w:eastAsia="zh-CN"/>
        </w:rPr>
        <w:t>10</w:t>
      </w:r>
      <w:r>
        <w:rPr>
          <w:rFonts w:hint="eastAsia" w:ascii="宋体" w:hAnsi="宋体"/>
          <w:bCs/>
          <w:color w:val="000000" w:themeColor="text1"/>
          <w:sz w:val="24"/>
        </w:rPr>
        <w:t>月</w:t>
      </w:r>
      <w:r>
        <w:rPr>
          <w:rFonts w:hint="eastAsia" w:ascii="宋体" w:hAnsi="宋体"/>
          <w:bCs/>
          <w:color w:val="000000" w:themeColor="text1"/>
          <w:sz w:val="24"/>
          <w:lang w:val="en-US" w:eastAsia="zh-CN"/>
        </w:rPr>
        <w:t>28</w:t>
      </w:r>
      <w:bookmarkStart w:id="1" w:name="_GoBack"/>
      <w:bookmarkEnd w:id="1"/>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2551282A"/>
    <w:rsid w:val="3F783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5032</Words>
  <Characters>5313</Characters>
  <Lines>45</Lines>
  <Paragraphs>12</Paragraphs>
  <TotalTime>2</TotalTime>
  <ScaleCrop>false</ScaleCrop>
  <LinksUpToDate>false</LinksUpToDate>
  <CharactersWithSpaces>5777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2024-10-21T09:12:07Z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83ACDC08EEAC4DCD9E7527A44344788E_13</vt:lpwstr>
  </property>
</Properties>
</file>