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10</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10</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w:t>
      </w:r>
      <w:r>
        <w:rPr>
          <w:rFonts w:hint="eastAsia" w:ascii="宋体" w:hAnsi="宋体"/>
          <w:color w:val="000000" w:themeColor="text1"/>
          <w:sz w:val="24"/>
          <w:u w:val="single"/>
          <w:lang w:val="en-US" w:eastAsia="zh-CN"/>
        </w:rPr>
        <w:t>10</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3072"/>
        <w:gridCol w:w="4213"/>
      </w:tblGrid>
      <w:tr w14:paraId="3DC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14:paraId="782521DA">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3072" w:type="dxa"/>
            <w:vAlign w:val="center"/>
          </w:tcPr>
          <w:p w14:paraId="1434A370">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213" w:type="dxa"/>
            <w:vAlign w:val="center"/>
          </w:tcPr>
          <w:p w14:paraId="240092D5">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14:paraId="3553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92" w:type="dxa"/>
            <w:vAlign w:val="center"/>
          </w:tcPr>
          <w:p w14:paraId="0DBA3D4A">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1</w:t>
            </w:r>
          </w:p>
        </w:tc>
        <w:tc>
          <w:tcPr>
            <w:tcW w:w="3072" w:type="dxa"/>
            <w:vAlign w:val="center"/>
          </w:tcPr>
          <w:p w14:paraId="13E95DD0">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蛋白C蛋白S活性测定试剂盒</w:t>
            </w:r>
          </w:p>
        </w:tc>
        <w:tc>
          <w:tcPr>
            <w:tcW w:w="4213" w:type="dxa"/>
            <w:vAlign w:val="center"/>
          </w:tcPr>
          <w:p w14:paraId="337619BD">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对遗传性和获得性的蛋白C和蛋白S缺乏患者的诊断及治疗。</w:t>
            </w:r>
          </w:p>
        </w:tc>
      </w:tr>
      <w:tr w14:paraId="58D8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14:paraId="65A60B7F">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2</w:t>
            </w:r>
          </w:p>
        </w:tc>
        <w:tc>
          <w:tcPr>
            <w:tcW w:w="3072" w:type="dxa"/>
            <w:vAlign w:val="center"/>
          </w:tcPr>
          <w:p w14:paraId="20728B0E">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VIII、IX、XI、XII因子活性测定试剂盒</w:t>
            </w:r>
          </w:p>
        </w:tc>
        <w:tc>
          <w:tcPr>
            <w:tcW w:w="4213" w:type="dxa"/>
            <w:vAlign w:val="center"/>
          </w:tcPr>
          <w:p w14:paraId="31883B7B">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对遗传性和获得性的凝血因子缺乏性疾病的诊断及治疗的监测。</w:t>
            </w:r>
          </w:p>
        </w:tc>
      </w:tr>
      <w:tr w14:paraId="0C10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40F609F5">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3</w:t>
            </w:r>
          </w:p>
        </w:tc>
        <w:tc>
          <w:tcPr>
            <w:tcW w:w="3072" w:type="dxa"/>
            <w:vAlign w:val="center"/>
          </w:tcPr>
          <w:p w14:paraId="3E8E4D04">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II、V、VII、X因子活性测定试剂盒</w:t>
            </w:r>
          </w:p>
        </w:tc>
        <w:tc>
          <w:tcPr>
            <w:tcW w:w="4213" w:type="dxa"/>
            <w:vAlign w:val="center"/>
          </w:tcPr>
          <w:p w14:paraId="38DA4094">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对遗传性和获得性的凝血因子缺乏性疾病的诊断及治疗的监测。</w:t>
            </w:r>
          </w:p>
        </w:tc>
      </w:tr>
      <w:tr w14:paraId="6CE1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22F92B79">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4</w:t>
            </w:r>
          </w:p>
        </w:tc>
        <w:tc>
          <w:tcPr>
            <w:tcW w:w="3072" w:type="dxa"/>
            <w:vAlign w:val="center"/>
          </w:tcPr>
          <w:p w14:paraId="4F087DAE">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自身免疫性肌炎抗体谱检测试剂</w:t>
            </w:r>
          </w:p>
        </w:tc>
        <w:tc>
          <w:tcPr>
            <w:tcW w:w="4213" w:type="dxa"/>
            <w:vAlign w:val="center"/>
          </w:tcPr>
          <w:p w14:paraId="1CD12737">
            <w:pPr>
              <w:keepNext w:val="0"/>
              <w:keepLines w:val="0"/>
              <w:widowControl/>
              <w:suppressLineNumbers w:val="0"/>
              <w:jc w:val="left"/>
              <w:textAlignment w:val="center"/>
              <w:rPr>
                <w:rFonts w:hint="eastAsia" w:ascii="宋体" w:hAnsi="宋体"/>
                <w:color w:val="000000" w:themeColor="text1"/>
                <w:kern w:val="0"/>
                <w:sz w:val="24"/>
                <w:szCs w:val="20"/>
              </w:rPr>
            </w:pPr>
            <w:r>
              <w:rPr>
                <w:rFonts w:hint="eastAsia" w:ascii="宋体" w:hAnsi="宋体" w:eastAsia="宋体" w:cs="宋体"/>
                <w:i w:val="0"/>
                <w:iCs w:val="0"/>
                <w:color w:val="000000"/>
                <w:kern w:val="0"/>
                <w:sz w:val="24"/>
                <w:szCs w:val="24"/>
                <w:u w:val="none"/>
                <w:lang w:val="en-US" w:eastAsia="zh-CN" w:bidi="ar"/>
              </w:rPr>
              <w:t>体外检测肌炎抗体，提高临床对于肌炎患者的检出率及肌炎并发症的确诊率，减少误诊、漏诊的发生。特异性强，敏感性好，自动化程度高</w:t>
            </w:r>
          </w:p>
        </w:tc>
      </w:tr>
    </w:tbl>
    <w:p w14:paraId="3939970B">
      <w:pPr>
        <w:spacing w:line="360" w:lineRule="auto"/>
        <w:ind w:left="480"/>
        <w:rPr>
          <w:rFonts w:ascii="宋体" w:hAnsi="宋体"/>
          <w:color w:val="000000" w:themeColor="text1"/>
          <w:sz w:val="24"/>
        </w:rPr>
      </w:pPr>
      <w:r>
        <w:rPr>
          <w:rFonts w:ascii="宋体" w:hAnsi="宋体"/>
          <w:color w:val="000000" w:themeColor="text1"/>
          <w:sz w:val="24"/>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4</w:t>
      </w:r>
      <w:r>
        <w:rPr>
          <w:rFonts w:hint="eastAsia" w:ascii="宋体" w:hAnsi="宋体"/>
          <w:bCs/>
          <w:color w:val="000000" w:themeColor="text1"/>
          <w:sz w:val="24"/>
        </w:rPr>
        <w:t>年</w:t>
      </w:r>
      <w:r>
        <w:rPr>
          <w:rFonts w:hint="eastAsia" w:ascii="宋体" w:hAnsi="宋体"/>
          <w:bCs/>
          <w:color w:val="000000" w:themeColor="text1"/>
          <w:sz w:val="24"/>
          <w:lang w:val="en-US" w:eastAsia="zh-CN"/>
        </w:rPr>
        <w:t>10</w:t>
      </w:r>
      <w:r>
        <w:rPr>
          <w:rFonts w:hint="eastAsia" w:ascii="宋体" w:hAnsi="宋体"/>
          <w:bCs/>
          <w:color w:val="000000" w:themeColor="text1"/>
          <w:sz w:val="24"/>
        </w:rPr>
        <w:t>月</w:t>
      </w:r>
      <w:r>
        <w:rPr>
          <w:rFonts w:ascii="宋体" w:hAnsi="宋体"/>
          <w:bCs/>
          <w:color w:val="000000" w:themeColor="text1"/>
          <w:sz w:val="24"/>
        </w:rPr>
        <w:t>16</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bookmarkStart w:id="1" w:name="_GoBack"/>
      <w:bookmarkEnd w:id="1"/>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25512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5138</Words>
  <Characters>5410</Characters>
  <Lines>45</Lines>
  <Paragraphs>12</Paragraphs>
  <TotalTime>2</TotalTime>
  <ScaleCrop>false</ScaleCrop>
  <LinksUpToDate>false</LinksUpToDate>
  <CharactersWithSpaces>5874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2024-10-09T07:48:51Z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96F9152606AC4BAB97E64A8886785D87_12</vt:lpwstr>
  </property>
</Properties>
</file>