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110"/>
        <w:rPr>
          <w:rFonts w:ascii="宋体" w:hAnsi="宋体"/>
          <w:b/>
          <w:sz w:val="30"/>
          <w:szCs w:val="30"/>
        </w:rPr>
      </w:pPr>
    </w:p>
    <w:p>
      <w:pPr>
        <w:ind w:right="-110"/>
        <w:rPr>
          <w:rFonts w:ascii="宋体" w:hAnsi="宋体"/>
          <w:spacing w:val="40"/>
          <w:sz w:val="52"/>
          <w:szCs w:val="52"/>
        </w:rPr>
      </w:pPr>
    </w:p>
    <w:p>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pPr>
        <w:spacing w:before="312" w:beforeLines="100" w:line="240" w:lineRule="atLeast"/>
        <w:ind w:right="-108"/>
        <w:jc w:val="center"/>
        <w:rPr>
          <w:rFonts w:ascii="黑体" w:hAnsi="黑体" w:eastAsia="黑体"/>
          <w:sz w:val="32"/>
          <w:szCs w:val="32"/>
        </w:rPr>
      </w:pPr>
    </w:p>
    <w:p>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w:t>
      </w:r>
    </w:p>
    <w:p>
      <w:pPr>
        <w:spacing w:before="312" w:beforeLines="100" w:line="240" w:lineRule="atLeast"/>
        <w:ind w:right="-108" w:firstLine="1920" w:firstLineChars="600"/>
        <w:rPr>
          <w:rFonts w:hint="eastAsia"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400</w:t>
      </w:r>
      <w:r>
        <w:rPr>
          <w:rFonts w:hint="eastAsia" w:ascii="黑体" w:hAnsi="黑体" w:eastAsia="黑体"/>
          <w:sz w:val="32"/>
          <w:szCs w:val="32"/>
          <w:lang w:val="en-US" w:eastAsia="zh-CN"/>
        </w:rPr>
        <w:t>4</w:t>
      </w:r>
    </w:p>
    <w:p>
      <w:pPr>
        <w:spacing w:before="312" w:beforeLines="100" w:line="240" w:lineRule="atLeast"/>
        <w:ind w:right="-108"/>
        <w:jc w:val="center"/>
        <w:rPr>
          <w:rFonts w:ascii="宋体" w:hAnsi="宋体"/>
          <w:b/>
          <w:sz w:val="36"/>
          <w:szCs w:val="36"/>
        </w:rPr>
      </w:pPr>
    </w:p>
    <w:p>
      <w:pPr>
        <w:spacing w:after="100" w:afterAutospacing="1" w:line="800" w:lineRule="exact"/>
        <w:ind w:right="-108"/>
        <w:jc w:val="center"/>
        <w:rPr>
          <w:rFonts w:ascii="黑体" w:hAnsi="宋体" w:eastAsia="黑体"/>
          <w:b/>
          <w:spacing w:val="40"/>
          <w:sz w:val="84"/>
          <w:szCs w:val="84"/>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rPr>
          <w:rFonts w:ascii="宋体" w:hAnsi="宋体"/>
          <w:sz w:val="36"/>
          <w:szCs w:val="36"/>
        </w:rPr>
      </w:pPr>
    </w:p>
    <w:p>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024年</w:t>
      </w:r>
      <w:r>
        <w:rPr>
          <w:rFonts w:hint="eastAsia" w:ascii="黑体" w:hAnsi="黑体" w:eastAsia="黑体"/>
          <w:sz w:val="32"/>
          <w:szCs w:val="32"/>
          <w:lang w:val="en-US" w:eastAsia="zh-CN"/>
        </w:rPr>
        <w:t>4</w:t>
      </w:r>
      <w:r>
        <w:rPr>
          <w:rFonts w:hint="eastAsia" w:ascii="黑体" w:hAnsi="黑体" w:eastAsia="黑体"/>
          <w:sz w:val="32"/>
          <w:szCs w:val="32"/>
        </w:rPr>
        <w:t>月</w:t>
      </w:r>
    </w:p>
    <w:p>
      <w:pPr>
        <w:spacing w:line="500" w:lineRule="exact"/>
        <w:ind w:right="532"/>
        <w:rPr>
          <w:rFonts w:ascii="宋体" w:hAnsi="宋体"/>
          <w:sz w:val="36"/>
          <w:szCs w:val="36"/>
        </w:rPr>
      </w:pPr>
    </w:p>
    <w:p>
      <w:pPr>
        <w:spacing w:line="500" w:lineRule="exact"/>
        <w:ind w:right="532"/>
        <w:rPr>
          <w:rFonts w:ascii="宋体" w:hAnsi="宋体"/>
          <w:sz w:val="36"/>
          <w:szCs w:val="36"/>
        </w:rPr>
      </w:pPr>
    </w:p>
    <w:p>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pPr>
        <w:numPr>
          <w:ilvl w:val="0"/>
          <w:numId w:val="1"/>
        </w:numPr>
        <w:spacing w:line="360" w:lineRule="auto"/>
        <w:rPr>
          <w:rFonts w:ascii="宋体" w:hAnsi="宋体"/>
          <w:color w:val="000000" w:themeColor="text1"/>
          <w:sz w:val="24"/>
        </w:rPr>
      </w:pPr>
      <w:r>
        <w:rPr>
          <w:rFonts w:hint="eastAsia" w:ascii="宋体" w:hAnsi="宋体"/>
          <w:sz w:val="24"/>
        </w:rPr>
        <w:t>谈判编号</w:t>
      </w:r>
      <w:r>
        <w:rPr>
          <w:rFonts w:hint="eastAsia" w:ascii="宋体" w:hAnsi="宋体"/>
          <w:color w:val="000000" w:themeColor="text1"/>
          <w:sz w:val="24"/>
        </w:rPr>
        <w:t xml:space="preserve">: </w:t>
      </w:r>
      <w:r>
        <w:rPr>
          <w:rFonts w:ascii="宋体" w:hAnsi="宋体"/>
          <w:color w:val="000000" w:themeColor="text1"/>
          <w:sz w:val="24"/>
          <w:u w:val="single"/>
          <w:lang w:val="zh-CN"/>
        </w:rPr>
        <w:t>ZJYYHCZB-2024004</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采购方式：</w:t>
      </w:r>
      <w:r>
        <w:rPr>
          <w:rFonts w:hint="eastAsia" w:ascii="宋体" w:hAnsi="宋体"/>
          <w:color w:val="000000" w:themeColor="text1"/>
          <w:sz w:val="24"/>
          <w:u w:val="single"/>
        </w:rPr>
        <w:t>院内招标</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采购内容：</w:t>
      </w:r>
    </w:p>
    <w:tbl>
      <w:tblPr>
        <w:tblStyle w:val="11"/>
        <w:tblW w:w="827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2"/>
        <w:gridCol w:w="2175"/>
        <w:gridCol w:w="5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992" w:type="dxa"/>
            <w:vAlign w:val="center"/>
          </w:tcPr>
          <w:p>
            <w:pPr>
              <w:spacing w:line="360" w:lineRule="auto"/>
              <w:jc w:val="center"/>
              <w:rPr>
                <w:rFonts w:ascii="宋体" w:hAnsi="宋体"/>
                <w:color w:val="000000" w:themeColor="text1"/>
                <w:kern w:val="0"/>
                <w:sz w:val="24"/>
                <w:szCs w:val="20"/>
              </w:rPr>
            </w:pPr>
            <w:r>
              <w:rPr>
                <w:rFonts w:hint="eastAsia" w:ascii="宋体" w:hAnsi="宋体"/>
                <w:color w:val="000000" w:themeColor="text1"/>
                <w:kern w:val="0"/>
                <w:sz w:val="24"/>
                <w:szCs w:val="20"/>
              </w:rPr>
              <w:t>标项号</w:t>
            </w:r>
          </w:p>
        </w:tc>
        <w:tc>
          <w:tcPr>
            <w:tcW w:w="2175" w:type="dxa"/>
            <w:vAlign w:val="center"/>
          </w:tcPr>
          <w:p>
            <w:pPr>
              <w:spacing w:line="360" w:lineRule="auto"/>
              <w:rPr>
                <w:rFonts w:ascii="宋体" w:hAnsi="宋体"/>
                <w:color w:val="000000" w:themeColor="text1"/>
                <w:kern w:val="0"/>
                <w:sz w:val="24"/>
                <w:szCs w:val="20"/>
              </w:rPr>
            </w:pPr>
            <w:r>
              <w:rPr>
                <w:rFonts w:ascii="宋体" w:hAnsi="宋体"/>
                <w:color w:val="000000" w:themeColor="text1"/>
                <w:kern w:val="0"/>
                <w:sz w:val="24"/>
                <w:szCs w:val="20"/>
              </w:rPr>
              <w:t>产品名称</w:t>
            </w:r>
          </w:p>
        </w:tc>
        <w:tc>
          <w:tcPr>
            <w:tcW w:w="5110" w:type="dxa"/>
            <w:vAlign w:val="center"/>
          </w:tcPr>
          <w:p>
            <w:pPr>
              <w:spacing w:line="360" w:lineRule="auto"/>
              <w:rPr>
                <w:rFonts w:ascii="宋体" w:hAnsi="宋体"/>
                <w:color w:val="000000" w:themeColor="text1"/>
                <w:kern w:val="0"/>
                <w:sz w:val="24"/>
                <w:szCs w:val="20"/>
              </w:rPr>
            </w:pPr>
            <w:r>
              <w:rPr>
                <w:rFonts w:ascii="宋体" w:hAnsi="宋体"/>
                <w:color w:val="000000" w:themeColor="text1"/>
                <w:kern w:val="0"/>
                <w:sz w:val="24"/>
                <w:szCs w:val="20"/>
              </w:rPr>
              <w:t>产品描述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992" w:type="dxa"/>
            <w:vAlign w:val="center"/>
          </w:tcPr>
          <w:p>
            <w:pPr>
              <w:spacing w:line="360" w:lineRule="auto"/>
              <w:rPr>
                <w:rFonts w:ascii="宋体" w:hAnsi="宋体"/>
                <w:color w:val="000000" w:themeColor="text1"/>
                <w:kern w:val="0"/>
                <w:sz w:val="24"/>
                <w:szCs w:val="20"/>
              </w:rPr>
            </w:pPr>
            <w:r>
              <w:rPr>
                <w:rFonts w:hint="eastAsia" w:ascii="宋体" w:hAnsi="宋体"/>
                <w:color w:val="000000" w:themeColor="text1"/>
                <w:kern w:val="0"/>
                <w:sz w:val="24"/>
                <w:szCs w:val="20"/>
                <w:lang w:val="en-US" w:eastAsia="zh-CN"/>
              </w:rPr>
              <w:t>1</w:t>
            </w:r>
          </w:p>
        </w:tc>
        <w:tc>
          <w:tcPr>
            <w:tcW w:w="2175" w:type="dxa"/>
            <w:vAlign w:val="center"/>
          </w:tcPr>
          <w:p>
            <w:pPr>
              <w:spacing w:line="360" w:lineRule="auto"/>
              <w:rPr>
                <w:rFonts w:ascii="宋体" w:hAnsi="宋体"/>
                <w:color w:val="000000" w:themeColor="text1"/>
                <w:kern w:val="0"/>
                <w:sz w:val="24"/>
                <w:szCs w:val="20"/>
              </w:rPr>
            </w:pPr>
            <w:r>
              <w:rPr>
                <w:rFonts w:hint="eastAsia" w:ascii="宋体" w:hAnsi="宋体"/>
                <w:color w:val="000000" w:themeColor="text1"/>
                <w:kern w:val="0"/>
                <w:sz w:val="24"/>
                <w:szCs w:val="20"/>
                <w:lang w:val="en-US" w:eastAsia="zh-CN"/>
              </w:rPr>
              <w:t>釉锆牙冠</w:t>
            </w:r>
          </w:p>
        </w:tc>
        <w:tc>
          <w:tcPr>
            <w:tcW w:w="5110"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用于牙列缺损或牙体缺损的固定修复，需釉锆材质、精度高、强度高、备牙量少、粘结性能良好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992" w:type="dxa"/>
            <w:vAlign w:val="center"/>
          </w:tcPr>
          <w:p>
            <w:pPr>
              <w:spacing w:line="360" w:lineRule="auto"/>
              <w:rPr>
                <w:rFonts w:ascii="宋体" w:hAnsi="宋体"/>
                <w:color w:val="000000" w:themeColor="text1"/>
                <w:kern w:val="0"/>
                <w:sz w:val="24"/>
                <w:szCs w:val="20"/>
              </w:rPr>
            </w:pPr>
            <w:r>
              <w:rPr>
                <w:rFonts w:hint="eastAsia" w:ascii="宋体" w:hAnsi="宋体"/>
                <w:color w:val="000000" w:themeColor="text1"/>
                <w:kern w:val="0"/>
                <w:sz w:val="24"/>
                <w:szCs w:val="20"/>
                <w:lang w:val="en-US" w:eastAsia="zh-CN"/>
              </w:rPr>
              <w:t>2</w:t>
            </w:r>
          </w:p>
        </w:tc>
        <w:tc>
          <w:tcPr>
            <w:tcW w:w="2175"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精子浓度质控品</w:t>
            </w:r>
          </w:p>
        </w:tc>
        <w:tc>
          <w:tcPr>
            <w:tcW w:w="5110"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用于监测精子分析的准确度和精密度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92" w:type="dxa"/>
            <w:vAlign w:val="center"/>
          </w:tcPr>
          <w:p>
            <w:pPr>
              <w:spacing w:line="360" w:lineRule="auto"/>
              <w:rPr>
                <w:rFonts w:ascii="宋体" w:hAnsi="宋体"/>
                <w:color w:val="000000" w:themeColor="text1"/>
                <w:kern w:val="0"/>
                <w:sz w:val="24"/>
                <w:szCs w:val="20"/>
              </w:rPr>
            </w:pPr>
            <w:r>
              <w:rPr>
                <w:rFonts w:hint="eastAsia" w:ascii="宋体" w:hAnsi="宋体"/>
                <w:color w:val="000000" w:themeColor="text1"/>
                <w:kern w:val="0"/>
                <w:sz w:val="24"/>
                <w:szCs w:val="20"/>
                <w:lang w:val="en-US" w:eastAsia="zh-CN"/>
              </w:rPr>
              <w:t>3</w:t>
            </w:r>
          </w:p>
        </w:tc>
        <w:tc>
          <w:tcPr>
            <w:tcW w:w="2175"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富血小板血浆制备装置</w:t>
            </w:r>
          </w:p>
        </w:tc>
        <w:tc>
          <w:tcPr>
            <w:tcW w:w="5110"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用于从人体自体血血样中制备富血小板血浆，需提供配套离心机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92" w:type="dxa"/>
            <w:vAlign w:val="center"/>
          </w:tcPr>
          <w:p>
            <w:pPr>
              <w:spacing w:line="360" w:lineRule="auto"/>
              <w:rPr>
                <w:rFonts w:ascii="宋体" w:hAnsi="宋体"/>
                <w:color w:val="000000" w:themeColor="text1"/>
                <w:kern w:val="0"/>
                <w:sz w:val="24"/>
                <w:szCs w:val="20"/>
              </w:rPr>
            </w:pPr>
            <w:r>
              <w:rPr>
                <w:rFonts w:hint="eastAsia" w:ascii="宋体" w:hAnsi="宋体"/>
                <w:color w:val="000000" w:themeColor="text1"/>
                <w:kern w:val="0"/>
                <w:sz w:val="24"/>
                <w:szCs w:val="20"/>
                <w:lang w:val="en-US" w:eastAsia="zh-CN"/>
              </w:rPr>
              <w:t>4</w:t>
            </w:r>
          </w:p>
        </w:tc>
        <w:tc>
          <w:tcPr>
            <w:tcW w:w="2175"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一次性使用有创血压传感器</w:t>
            </w:r>
          </w:p>
        </w:tc>
        <w:tc>
          <w:tcPr>
            <w:tcW w:w="5110"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用于患者有创血压测量和血液样本采集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92"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5</w:t>
            </w:r>
          </w:p>
        </w:tc>
        <w:tc>
          <w:tcPr>
            <w:tcW w:w="2175"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医用激光光纤</w:t>
            </w:r>
          </w:p>
        </w:tc>
        <w:tc>
          <w:tcPr>
            <w:tcW w:w="5110"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配合医用激光设备将激光传输到患者病变部位，可重复使用。适配Lumenis Pulse 100H，VersaPulse PowerSuite 60 W钬激光治疗系统。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92"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6</w:t>
            </w:r>
          </w:p>
        </w:tc>
        <w:tc>
          <w:tcPr>
            <w:tcW w:w="2175"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塑料薄膜手套</w:t>
            </w:r>
          </w:p>
        </w:tc>
        <w:tc>
          <w:tcPr>
            <w:tcW w:w="5110"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1.聚乙烯PE材质，麻面型；</w:t>
            </w:r>
            <w:r>
              <w:rPr>
                <w:rFonts w:hint="eastAsia" w:ascii="宋体" w:hAnsi="宋体"/>
                <w:color w:val="000000" w:themeColor="text1"/>
                <w:kern w:val="0"/>
                <w:sz w:val="24"/>
                <w:szCs w:val="20"/>
                <w:lang w:val="en-US" w:eastAsia="zh-CN"/>
              </w:rPr>
              <w:br w:type="textWrapping"/>
            </w:r>
            <w:r>
              <w:rPr>
                <w:rFonts w:hint="eastAsia" w:ascii="宋体" w:hAnsi="宋体"/>
                <w:color w:val="000000" w:themeColor="text1"/>
                <w:kern w:val="0"/>
                <w:sz w:val="24"/>
                <w:szCs w:val="20"/>
                <w:lang w:val="en-US" w:eastAsia="zh-CN"/>
              </w:rPr>
              <w:t>2.颜色均匀、表面平整、无虚封、切边整齐、无层间黏连，外观、尺寸、破裂力、耐揉搓性能、渗漏情况等符合使用需求。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992"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7</w:t>
            </w:r>
          </w:p>
        </w:tc>
        <w:tc>
          <w:tcPr>
            <w:tcW w:w="2175"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医用检查手套</w:t>
            </w:r>
          </w:p>
        </w:tc>
        <w:tc>
          <w:tcPr>
            <w:tcW w:w="5110"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1.麻面无粉，非灭菌包装，包括XS/S/M/L等规格；</w:t>
            </w:r>
            <w:r>
              <w:rPr>
                <w:rFonts w:hint="eastAsia" w:ascii="宋体" w:hAnsi="宋体"/>
                <w:color w:val="000000" w:themeColor="text1"/>
                <w:kern w:val="0"/>
                <w:sz w:val="24"/>
                <w:szCs w:val="20"/>
                <w:lang w:val="en-US" w:eastAsia="zh-CN"/>
              </w:rPr>
              <w:br w:type="textWrapping"/>
            </w:r>
            <w:r>
              <w:rPr>
                <w:rFonts w:hint="eastAsia" w:ascii="宋体" w:hAnsi="宋体"/>
                <w:color w:val="000000" w:themeColor="text1"/>
                <w:kern w:val="0"/>
                <w:sz w:val="24"/>
                <w:szCs w:val="20"/>
                <w:lang w:val="en-US" w:eastAsia="zh-CN"/>
              </w:rPr>
              <w:t>2.符合《GB 10213-2006 一次性使用医用橡胶检查手套》要求；</w:t>
            </w:r>
            <w:r>
              <w:rPr>
                <w:rFonts w:hint="eastAsia" w:ascii="宋体" w:hAnsi="宋体"/>
                <w:color w:val="000000" w:themeColor="text1"/>
                <w:kern w:val="0"/>
                <w:sz w:val="24"/>
                <w:szCs w:val="20"/>
                <w:lang w:val="en-US" w:eastAsia="zh-CN"/>
              </w:rPr>
              <w:br w:type="textWrapping"/>
            </w:r>
            <w:r>
              <w:rPr>
                <w:rFonts w:hint="eastAsia" w:ascii="宋体" w:hAnsi="宋体"/>
                <w:color w:val="000000" w:themeColor="text1"/>
                <w:kern w:val="0"/>
                <w:sz w:val="24"/>
                <w:szCs w:val="20"/>
                <w:lang w:val="en-US" w:eastAsia="zh-CN"/>
              </w:rPr>
              <w:t>3.外观完整、清洁、无黏连、无孔洞，颜色、厚薄度、舒适度、牢固度、拉伸性能等符合使用需求。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992"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8</w:t>
            </w:r>
          </w:p>
        </w:tc>
        <w:tc>
          <w:tcPr>
            <w:tcW w:w="2175"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医用外科手套</w:t>
            </w:r>
          </w:p>
        </w:tc>
        <w:tc>
          <w:tcPr>
            <w:tcW w:w="5110"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1.麻面无粉，灭菌包装，包括6.0/6.5/7/7.5/8等规格；</w:t>
            </w:r>
            <w:r>
              <w:rPr>
                <w:rFonts w:hint="eastAsia" w:ascii="宋体" w:hAnsi="宋体"/>
                <w:color w:val="000000" w:themeColor="text1"/>
                <w:kern w:val="0"/>
                <w:sz w:val="24"/>
                <w:szCs w:val="20"/>
                <w:lang w:val="en-US" w:eastAsia="zh-CN"/>
              </w:rPr>
              <w:br w:type="textWrapping"/>
            </w:r>
            <w:r>
              <w:rPr>
                <w:rFonts w:hint="eastAsia" w:ascii="宋体" w:hAnsi="宋体"/>
                <w:color w:val="000000" w:themeColor="text1"/>
                <w:kern w:val="0"/>
                <w:sz w:val="24"/>
                <w:szCs w:val="20"/>
                <w:lang w:val="en-US" w:eastAsia="zh-CN"/>
              </w:rPr>
              <w:t>2.符合《GB 10213-2006 一次性使用医用橡胶检查手套》要求；</w:t>
            </w:r>
            <w:r>
              <w:rPr>
                <w:rFonts w:hint="eastAsia" w:ascii="宋体" w:hAnsi="宋体"/>
                <w:color w:val="000000" w:themeColor="text1"/>
                <w:kern w:val="0"/>
                <w:sz w:val="24"/>
                <w:szCs w:val="20"/>
                <w:lang w:val="en-US" w:eastAsia="zh-CN"/>
              </w:rPr>
              <w:br w:type="textWrapping"/>
            </w:r>
            <w:r>
              <w:rPr>
                <w:rFonts w:hint="eastAsia" w:ascii="宋体" w:hAnsi="宋体"/>
                <w:color w:val="000000" w:themeColor="text1"/>
                <w:kern w:val="0"/>
                <w:sz w:val="24"/>
                <w:szCs w:val="20"/>
                <w:lang w:val="en-US" w:eastAsia="zh-CN"/>
              </w:rPr>
              <w:t>3.外观完整、清洁、无黏连、无孔洞，颜色、厚薄度、舒适度、牢固度、拉伸性能等符合使用需求。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992"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9.1</w:t>
            </w:r>
          </w:p>
        </w:tc>
        <w:tc>
          <w:tcPr>
            <w:tcW w:w="2175"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手消毒剂（适用卫生手消毒）</w:t>
            </w:r>
          </w:p>
        </w:tc>
        <w:tc>
          <w:tcPr>
            <w:tcW w:w="5110"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1.适用于卫生手消毒，首选速干手消毒剂；具有良好的医务人员接受度；                                                            2.全国消毒产品网上备案信息服务平台备案，符合手消毒剂通用要求（GB27950-2020），满足技术指标并提供检测报告；</w:t>
            </w:r>
            <w:r>
              <w:rPr>
                <w:rFonts w:hint="eastAsia" w:ascii="宋体" w:hAnsi="宋体"/>
                <w:color w:val="000000" w:themeColor="text1"/>
                <w:kern w:val="0"/>
                <w:sz w:val="24"/>
                <w:szCs w:val="20"/>
                <w:lang w:val="en-US" w:eastAsia="zh-CN"/>
              </w:rPr>
              <w:br w:type="textWrapping"/>
            </w:r>
            <w:r>
              <w:rPr>
                <w:rFonts w:hint="eastAsia" w:ascii="宋体" w:hAnsi="宋体"/>
                <w:color w:val="000000" w:themeColor="text1"/>
                <w:kern w:val="0"/>
                <w:sz w:val="24"/>
                <w:szCs w:val="20"/>
                <w:lang w:val="en-US" w:eastAsia="zh-CN"/>
              </w:rPr>
              <w:t>3.需提供产品卫生安全评价报告；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992"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9.2</w:t>
            </w:r>
          </w:p>
        </w:tc>
        <w:tc>
          <w:tcPr>
            <w:tcW w:w="2175"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手消毒剂（适用卫生手消毒）</w:t>
            </w:r>
          </w:p>
        </w:tc>
        <w:tc>
          <w:tcPr>
            <w:tcW w:w="5110"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1.适用于卫生手消毒                                                                      2.全国消毒产品网上备案信息服务平台备案，符合手消毒剂通用要求（GB27950-2020），满足技术指标并提供检测报告；</w:t>
            </w:r>
            <w:r>
              <w:rPr>
                <w:rFonts w:hint="eastAsia" w:ascii="宋体" w:hAnsi="宋体"/>
                <w:color w:val="000000" w:themeColor="text1"/>
                <w:kern w:val="0"/>
                <w:sz w:val="24"/>
                <w:szCs w:val="20"/>
                <w:lang w:val="en-US" w:eastAsia="zh-CN"/>
              </w:rPr>
              <w:br w:type="textWrapping"/>
            </w:r>
            <w:r>
              <w:rPr>
                <w:rFonts w:hint="eastAsia" w:ascii="宋体" w:hAnsi="宋体"/>
                <w:color w:val="000000" w:themeColor="text1"/>
                <w:kern w:val="0"/>
                <w:sz w:val="24"/>
                <w:szCs w:val="20"/>
                <w:lang w:val="en-US" w:eastAsia="zh-CN"/>
              </w:rPr>
              <w:t>3.需提供产品卫生安全评价报告；</w:t>
            </w:r>
            <w:r>
              <w:rPr>
                <w:rFonts w:hint="eastAsia" w:ascii="宋体" w:hAnsi="宋体"/>
                <w:color w:val="000000" w:themeColor="text1"/>
                <w:kern w:val="0"/>
                <w:sz w:val="24"/>
                <w:szCs w:val="20"/>
                <w:lang w:val="en-US" w:eastAsia="zh-CN"/>
              </w:rPr>
              <w:br w:type="textWrapping"/>
            </w:r>
            <w:r>
              <w:rPr>
                <w:rFonts w:hint="eastAsia" w:ascii="宋体" w:hAnsi="宋体"/>
                <w:color w:val="000000" w:themeColor="text1"/>
                <w:kern w:val="0"/>
                <w:sz w:val="24"/>
                <w:szCs w:val="20"/>
                <w:lang w:val="en-US" w:eastAsia="zh-CN"/>
              </w:rPr>
              <w:t>4.产品说明书标明对病毒有灭活作用的，检测报告部分应至少包括脊髓灰质炎(Ⅰ型疫苗株)病毒灭活试验。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992"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10</w:t>
            </w:r>
          </w:p>
        </w:tc>
        <w:tc>
          <w:tcPr>
            <w:tcW w:w="2175"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手消毒剂（适用外科手消毒）</w:t>
            </w:r>
          </w:p>
        </w:tc>
        <w:tc>
          <w:tcPr>
            <w:tcW w:w="5110"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1.适用于外科手消毒；出液器应采用非手触式。</w:t>
            </w:r>
            <w:r>
              <w:rPr>
                <w:rFonts w:hint="eastAsia" w:ascii="宋体" w:hAnsi="宋体"/>
                <w:color w:val="000000" w:themeColor="text1"/>
                <w:kern w:val="0"/>
                <w:sz w:val="24"/>
                <w:szCs w:val="20"/>
                <w:lang w:val="en-US" w:eastAsia="zh-CN"/>
              </w:rPr>
              <w:br w:type="textWrapping"/>
            </w:r>
            <w:r>
              <w:rPr>
                <w:rFonts w:hint="eastAsia" w:ascii="宋体" w:hAnsi="宋体"/>
                <w:color w:val="000000" w:themeColor="text1"/>
                <w:kern w:val="0"/>
                <w:sz w:val="24"/>
                <w:szCs w:val="20"/>
                <w:lang w:val="en-US" w:eastAsia="zh-CN"/>
              </w:rPr>
              <w:t>2.全国消毒产品网上备案信息服务平台备案，符合手消毒剂通用要求（GB27950-2020），满足技术指标并提供检测报告；</w:t>
            </w:r>
            <w:r>
              <w:rPr>
                <w:rFonts w:hint="eastAsia" w:ascii="宋体" w:hAnsi="宋体"/>
                <w:color w:val="000000" w:themeColor="text1"/>
                <w:kern w:val="0"/>
                <w:sz w:val="24"/>
                <w:szCs w:val="20"/>
                <w:lang w:val="en-US" w:eastAsia="zh-CN"/>
              </w:rPr>
              <w:br w:type="textWrapping"/>
            </w:r>
            <w:r>
              <w:rPr>
                <w:rFonts w:hint="eastAsia" w:ascii="宋体" w:hAnsi="宋体"/>
                <w:color w:val="000000" w:themeColor="text1"/>
                <w:kern w:val="0"/>
                <w:sz w:val="24"/>
                <w:szCs w:val="20"/>
                <w:lang w:val="en-US" w:eastAsia="zh-CN"/>
              </w:rPr>
              <w:t>3.需提供产品卫生安全评价报告；</w:t>
            </w:r>
          </w:p>
        </w:tc>
      </w:tr>
    </w:tbl>
    <w:p>
      <w:pPr>
        <w:spacing w:line="360" w:lineRule="auto"/>
        <w:rPr>
          <w:rFonts w:ascii="宋体" w:hAnsi="宋体"/>
          <w:color w:val="000000" w:themeColor="text1"/>
          <w:sz w:val="24"/>
        </w:rPr>
      </w:pPr>
      <w:r>
        <w:rPr>
          <w:rFonts w:ascii="宋体" w:hAnsi="宋体"/>
          <w:color w:val="000000" w:themeColor="text1"/>
          <w:kern w:val="0"/>
          <w:sz w:val="24"/>
          <w:szCs w:val="20"/>
        </w:rPr>
        <w:t xml:space="preserve"> </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投标单位的资格要求：见第二章</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谈判文件发放：网站下载</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响应文件递交时间和地点：</w:t>
      </w:r>
    </w:p>
    <w:p>
      <w:pPr>
        <w:pStyle w:val="15"/>
        <w:spacing w:line="360" w:lineRule="auto"/>
        <w:ind w:left="480" w:firstLine="0" w:firstLineChars="0"/>
        <w:rPr>
          <w:rFonts w:ascii="宋体" w:hAnsi="宋体"/>
          <w:bCs/>
          <w:color w:val="000000" w:themeColor="text1"/>
          <w:sz w:val="24"/>
        </w:rPr>
      </w:pPr>
      <w:r>
        <w:rPr>
          <w:rFonts w:hint="eastAsia" w:ascii="宋体" w:hAnsi="宋体"/>
          <w:b/>
          <w:color w:val="000000" w:themeColor="text1"/>
          <w:sz w:val="24"/>
        </w:rPr>
        <w:t>响应文件递交时间：</w:t>
      </w:r>
      <w:r>
        <w:rPr>
          <w:rFonts w:hint="eastAsia" w:ascii="宋体" w:hAnsi="宋体"/>
          <w:bCs/>
          <w:color w:val="000000" w:themeColor="text1"/>
          <w:sz w:val="24"/>
        </w:rPr>
        <w:t>202</w:t>
      </w:r>
      <w:r>
        <w:rPr>
          <w:rFonts w:ascii="宋体" w:hAnsi="宋体"/>
          <w:bCs/>
          <w:color w:val="000000" w:themeColor="text1"/>
          <w:sz w:val="24"/>
        </w:rPr>
        <w:t>4</w:t>
      </w:r>
      <w:r>
        <w:rPr>
          <w:rFonts w:hint="eastAsia" w:ascii="宋体" w:hAnsi="宋体"/>
          <w:bCs/>
          <w:color w:val="000000" w:themeColor="text1"/>
          <w:sz w:val="24"/>
        </w:rPr>
        <w:t>年</w:t>
      </w:r>
      <w:r>
        <w:rPr>
          <w:rFonts w:hint="eastAsia" w:ascii="宋体" w:hAnsi="宋体"/>
          <w:bCs/>
          <w:color w:val="000000" w:themeColor="text1"/>
          <w:sz w:val="24"/>
          <w:lang w:val="en-US" w:eastAsia="zh-CN"/>
        </w:rPr>
        <w:t>5</w:t>
      </w:r>
      <w:r>
        <w:rPr>
          <w:rFonts w:hint="eastAsia" w:ascii="宋体" w:hAnsi="宋体"/>
          <w:bCs/>
          <w:color w:val="000000" w:themeColor="text1"/>
          <w:sz w:val="24"/>
        </w:rPr>
        <w:t>月</w:t>
      </w:r>
      <w:r>
        <w:rPr>
          <w:rFonts w:hint="eastAsia" w:ascii="宋体" w:hAnsi="宋体"/>
          <w:bCs/>
          <w:color w:val="000000" w:themeColor="text1"/>
          <w:sz w:val="24"/>
          <w:lang w:val="en-US" w:eastAsia="zh-CN"/>
        </w:rPr>
        <w:t>14</w:t>
      </w:r>
      <w:r>
        <w:rPr>
          <w:rFonts w:hint="eastAsia" w:ascii="宋体" w:hAnsi="宋体"/>
          <w:bCs/>
          <w:color w:val="000000" w:themeColor="text1"/>
          <w:sz w:val="24"/>
        </w:rPr>
        <w:t xml:space="preserve">日 </w:t>
      </w:r>
      <w:r>
        <w:rPr>
          <w:rFonts w:ascii="宋体" w:hAnsi="宋体"/>
          <w:bCs/>
          <w:color w:val="000000" w:themeColor="text1"/>
          <w:sz w:val="24"/>
        </w:rPr>
        <w:t>17:00前</w:t>
      </w:r>
    </w:p>
    <w:p>
      <w:pPr>
        <w:pStyle w:val="15"/>
        <w:spacing w:line="360" w:lineRule="auto"/>
        <w:ind w:left="480" w:firstLine="0" w:firstLineChars="0"/>
        <w:rPr>
          <w:rFonts w:ascii="宋体" w:hAnsi="宋体"/>
          <w:bCs/>
          <w:color w:val="000000" w:themeColor="text1"/>
          <w:sz w:val="24"/>
        </w:rPr>
      </w:pPr>
      <w:r>
        <w:rPr>
          <w:rFonts w:hint="eastAsia" w:ascii="宋体" w:hAnsi="宋体"/>
          <w:b/>
          <w:sz w:val="24"/>
        </w:rPr>
        <w:t>响应文件递交地点：</w:t>
      </w:r>
      <w:r>
        <w:rPr>
          <w:rFonts w:ascii="宋体" w:hAnsi="宋体"/>
          <w:bCs/>
          <w:color w:val="000000" w:themeColor="text1"/>
          <w:sz w:val="24"/>
        </w:rPr>
        <w:t>将响应文件（正本一份）密封交至</w:t>
      </w:r>
      <w:r>
        <w:rPr>
          <w:rFonts w:hint="eastAsia"/>
          <w:sz w:val="24"/>
          <w:szCs w:val="24"/>
        </w:rPr>
        <w:t>杭州市西湖区古墩路1229号浙江医院三墩院区</w:t>
      </w:r>
      <w:r>
        <w:rPr>
          <w:sz w:val="24"/>
          <w:szCs w:val="24"/>
        </w:rPr>
        <w:t>2号楼502房间</w:t>
      </w:r>
      <w:r>
        <w:rPr>
          <w:rFonts w:hint="eastAsia"/>
          <w:sz w:val="24"/>
          <w:szCs w:val="24"/>
        </w:rPr>
        <w:t>。</w:t>
      </w:r>
      <w:r>
        <w:rPr>
          <w:rFonts w:ascii="宋体" w:hAnsi="宋体"/>
          <w:bCs/>
          <w:color w:val="000000" w:themeColor="text1"/>
          <w:sz w:val="24"/>
        </w:rPr>
        <w:t>其余响应文件（副本）密封于开标日送至。</w:t>
      </w:r>
    </w:p>
    <w:p>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pPr>
        <w:numPr>
          <w:ilvl w:val="0"/>
          <w:numId w:val="1"/>
        </w:numPr>
        <w:spacing w:line="360" w:lineRule="auto"/>
        <w:rPr>
          <w:rFonts w:ascii="宋体" w:hAnsi="宋体"/>
          <w:color w:val="000000" w:themeColor="text1"/>
          <w:sz w:val="24"/>
        </w:rPr>
      </w:pPr>
      <w:r>
        <w:rPr>
          <w:rFonts w:hint="eastAsia"/>
          <w:sz w:val="24"/>
          <w:szCs w:val="24"/>
        </w:rPr>
        <w:t>谈判</w:t>
      </w:r>
      <w:r>
        <w:rPr>
          <w:sz w:val="24"/>
          <w:szCs w:val="24"/>
        </w:rPr>
        <w:t>时间和地点</w:t>
      </w:r>
    </w:p>
    <w:p>
      <w:pPr>
        <w:pStyle w:val="15"/>
        <w:tabs>
          <w:tab w:val="left" w:pos="480"/>
        </w:tabs>
        <w:spacing w:line="360" w:lineRule="auto"/>
        <w:ind w:left="480" w:firstLine="0" w:firstLineChars="0"/>
        <w:rPr>
          <w:rFonts w:ascii="宋体" w:hAnsi="宋体"/>
          <w:sz w:val="24"/>
        </w:rPr>
      </w:pPr>
      <w:r>
        <w:rPr>
          <w:rFonts w:hint="eastAsia" w:ascii="宋体" w:hAnsi="宋体"/>
          <w:sz w:val="24"/>
        </w:rPr>
        <w:t>材料审核通过后，将通知各供应商</w:t>
      </w:r>
      <w:r>
        <w:rPr>
          <w:rFonts w:hint="eastAsia" w:ascii="宋体" w:hAnsi="宋体"/>
          <w:sz w:val="24"/>
          <w:lang w:val="en-US" w:eastAsia="zh-CN"/>
        </w:rPr>
        <w:t>提供样本和</w:t>
      </w:r>
      <w:r>
        <w:rPr>
          <w:rFonts w:hint="eastAsia" w:ascii="宋体" w:hAnsi="宋体"/>
          <w:sz w:val="24"/>
        </w:rPr>
        <w:t>参加招标，地点时间另行通知。</w:t>
      </w:r>
    </w:p>
    <w:p>
      <w:pPr>
        <w:numPr>
          <w:ilvl w:val="0"/>
          <w:numId w:val="1"/>
        </w:numPr>
        <w:spacing w:line="360" w:lineRule="auto"/>
        <w:rPr>
          <w:rFonts w:ascii="宋体" w:hAnsi="宋体"/>
          <w:sz w:val="24"/>
        </w:rPr>
      </w:pPr>
      <w:r>
        <w:rPr>
          <w:rFonts w:hint="eastAsia" w:ascii="宋体" w:hAnsi="宋体"/>
          <w:sz w:val="24"/>
        </w:rPr>
        <w:t>联系地址和电话：</w:t>
      </w:r>
    </w:p>
    <w:p>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w:t>
      </w:r>
      <w:bookmarkStart w:id="1" w:name="_GoBack"/>
      <w:bookmarkEnd w:id="1"/>
      <w:r>
        <w:rPr>
          <w:rFonts w:hint="eastAsia"/>
          <w:sz w:val="24"/>
          <w:szCs w:val="24"/>
        </w:rPr>
        <w:t>号浙江医院三墩院区</w:t>
      </w:r>
      <w:r>
        <w:rPr>
          <w:sz w:val="24"/>
          <w:szCs w:val="24"/>
        </w:rPr>
        <w:t>2号楼502房间</w:t>
      </w:r>
      <w:r>
        <w:rPr>
          <w:rFonts w:ascii="宋体" w:hAnsi="宋体"/>
          <w:sz w:val="24"/>
        </w:rPr>
        <w:t xml:space="preserve"> </w:t>
      </w:r>
    </w:p>
    <w:p>
      <w:pPr>
        <w:spacing w:line="360" w:lineRule="auto"/>
        <w:ind w:left="480"/>
        <w:rPr>
          <w:rFonts w:ascii="宋体" w:hAnsi="宋体"/>
          <w:sz w:val="24"/>
        </w:rPr>
      </w:pPr>
      <w:r>
        <w:rPr>
          <w:rFonts w:hint="eastAsia" w:ascii="宋体" w:hAnsi="宋体"/>
          <w:sz w:val="24"/>
        </w:rPr>
        <w:t>联系人：褚老师、胡老师</w:t>
      </w:r>
    </w:p>
    <w:p>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pPr>
        <w:widowControl/>
        <w:jc w:val="left"/>
        <w:rPr>
          <w:rFonts w:ascii="宋体" w:hAnsi="宋体"/>
          <w:sz w:val="24"/>
        </w:rPr>
      </w:pPr>
      <w:r>
        <w:rPr>
          <w:rFonts w:ascii="宋体" w:hAnsi="宋体"/>
          <w:sz w:val="24"/>
        </w:rPr>
        <w:br w:type="page"/>
      </w:r>
    </w:p>
    <w:p>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pPr>
              <w:widowControl/>
              <w:spacing w:line="276" w:lineRule="auto"/>
              <w:rPr>
                <w:rFonts w:ascii="Times New Roman" w:hAnsi="Times New Roman"/>
                <w:sz w:val="24"/>
              </w:rPr>
            </w:pPr>
            <w:r>
              <w:rPr>
                <w:rFonts w:ascii="Times New Roman" w:hAnsi="Times New Roman"/>
                <w:sz w:val="24"/>
              </w:rPr>
              <w:t>自响应截止时间起90天</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pPr>
        <w:spacing w:line="360" w:lineRule="auto"/>
        <w:ind w:left="480"/>
        <w:rPr>
          <w:rFonts w:ascii="宋体" w:hAnsi="宋体"/>
          <w:sz w:val="24"/>
        </w:rPr>
      </w:pP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ascii="宋体" w:hAnsi="宋体"/>
          <w:color w:val="000000"/>
          <w:sz w:val="24"/>
        </w:rPr>
        <w:t>配套设备要求</w:t>
      </w:r>
    </w:p>
    <w:p>
      <w:pPr>
        <w:tabs>
          <w:tab w:val="left" w:pos="540"/>
        </w:tabs>
        <w:spacing w:line="360" w:lineRule="auto"/>
        <w:ind w:left="540"/>
        <w:rPr>
          <w:rFonts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pPr>
        <w:tabs>
          <w:tab w:val="left" w:pos="540"/>
        </w:tabs>
        <w:spacing w:line="360" w:lineRule="auto"/>
        <w:ind w:left="540"/>
        <w:rPr>
          <w:rFonts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pPr>
        <w:tabs>
          <w:tab w:val="left" w:pos="540"/>
        </w:tabs>
        <w:spacing w:line="360" w:lineRule="auto"/>
        <w:ind w:left="540"/>
        <w:rPr>
          <w:rFonts w:ascii="宋体" w:hAnsi="宋体"/>
          <w:color w:val="000000"/>
          <w:sz w:val="24"/>
        </w:rPr>
      </w:pPr>
      <w:r>
        <w:rPr>
          <w:rFonts w:ascii="宋体" w:hAnsi="宋体"/>
          <w:color w:val="000000"/>
          <w:sz w:val="24"/>
        </w:rPr>
        <w:t>4.提供相关的医保收费明细；</w:t>
      </w:r>
    </w:p>
    <w:p>
      <w:pPr>
        <w:tabs>
          <w:tab w:val="left" w:pos="540"/>
        </w:tabs>
        <w:spacing w:line="360" w:lineRule="auto"/>
        <w:ind w:left="540"/>
        <w:rPr>
          <w:rFonts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pPr>
        <w:tabs>
          <w:tab w:val="left" w:pos="540"/>
        </w:tabs>
        <w:spacing w:line="360" w:lineRule="auto"/>
        <w:ind w:left="540"/>
        <w:rPr>
          <w:rFonts w:ascii="宋体" w:hAnsi="宋体"/>
          <w:color w:val="000000"/>
          <w:sz w:val="24"/>
        </w:rPr>
      </w:pPr>
      <w:r>
        <w:rPr>
          <w:rFonts w:ascii="宋体" w:hAnsi="宋体"/>
          <w:color w:val="000000"/>
          <w:sz w:val="24"/>
        </w:rPr>
        <w:t>6.若采用租赁形式，租赁服务包括的内容</w:t>
      </w:r>
    </w:p>
    <w:p>
      <w:pPr>
        <w:tabs>
          <w:tab w:val="left" w:pos="540"/>
        </w:tabs>
        <w:spacing w:line="360" w:lineRule="auto"/>
        <w:ind w:left="540"/>
        <w:rPr>
          <w:rFonts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pPr>
        <w:tabs>
          <w:tab w:val="left" w:pos="540"/>
        </w:tabs>
        <w:spacing w:line="360" w:lineRule="auto"/>
        <w:ind w:left="540"/>
        <w:rPr>
          <w:rFonts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pPr>
        <w:tabs>
          <w:tab w:val="left" w:pos="540"/>
        </w:tabs>
        <w:spacing w:line="360" w:lineRule="auto"/>
        <w:ind w:left="540"/>
        <w:rPr>
          <w:rFonts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pPr>
        <w:tabs>
          <w:tab w:val="left" w:pos="540"/>
        </w:tabs>
        <w:spacing w:line="360" w:lineRule="auto"/>
        <w:rPr>
          <w:rFonts w:ascii="宋体" w:hAnsi="宋体"/>
          <w:color w:val="000000"/>
          <w:sz w:val="24"/>
        </w:rPr>
      </w:pPr>
    </w:p>
    <w:p>
      <w:pPr>
        <w:spacing w:line="360" w:lineRule="auto"/>
        <w:ind w:left="474"/>
        <w:jc w:val="left"/>
        <w:rPr>
          <w:rFonts w:ascii="宋体" w:hAnsi="宋体"/>
          <w:b/>
          <w:sz w:val="32"/>
          <w:szCs w:val="32"/>
        </w:rPr>
      </w:pPr>
    </w:p>
    <w:p>
      <w:pPr>
        <w:widowControl/>
        <w:jc w:val="left"/>
        <w:rPr>
          <w:rFonts w:ascii="宋体" w:hAnsi="宋体"/>
          <w:b/>
          <w:sz w:val="32"/>
          <w:szCs w:val="32"/>
        </w:rPr>
      </w:pPr>
    </w:p>
    <w:p>
      <w:pPr>
        <w:widowControl/>
        <w:jc w:val="left"/>
        <w:rPr>
          <w:rFonts w:ascii="宋体" w:hAnsi="宋体"/>
          <w:b/>
          <w:sz w:val="32"/>
          <w:szCs w:val="32"/>
        </w:rPr>
      </w:pPr>
      <w:r>
        <w:rPr>
          <w:rFonts w:ascii="宋体" w:hAnsi="宋体"/>
          <w:b/>
          <w:sz w:val="32"/>
          <w:szCs w:val="32"/>
        </w:rPr>
        <w:br w:type="page"/>
      </w:r>
    </w:p>
    <w:p>
      <w:pPr>
        <w:spacing w:line="360" w:lineRule="auto"/>
        <w:ind w:left="474"/>
        <w:jc w:val="center"/>
        <w:rPr>
          <w:rFonts w:ascii="宋体" w:hAnsi="宋体"/>
          <w:b/>
          <w:sz w:val="32"/>
          <w:szCs w:val="32"/>
        </w:rPr>
      </w:pPr>
      <w:r>
        <w:rPr>
          <w:rFonts w:hint="eastAsia" w:ascii="宋体" w:hAnsi="宋体"/>
          <w:b/>
          <w:sz w:val="32"/>
          <w:szCs w:val="32"/>
        </w:rPr>
        <w:t>第四章  报价要求</w:t>
      </w:r>
    </w:p>
    <w:p>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731" w:firstLineChars="850"/>
        <w:rPr>
          <w:rFonts w:ascii="宋体" w:hAnsi="宋体"/>
          <w:b/>
          <w:sz w:val="32"/>
          <w:szCs w:val="32"/>
        </w:rPr>
      </w:pPr>
      <w:r>
        <w:rPr>
          <w:rFonts w:hint="eastAsia" w:ascii="宋体" w:hAnsi="宋体"/>
          <w:b/>
          <w:sz w:val="32"/>
          <w:szCs w:val="32"/>
        </w:rPr>
        <w:t>第五章 评审标准</w:t>
      </w:r>
    </w:p>
    <w:p>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评分内容</w:t>
            </w:r>
          </w:p>
        </w:tc>
      </w:tr>
      <w:tr>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满分</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5</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olor w:val="000000"/>
                <w:sz w:val="22"/>
              </w:rPr>
            </w:pPr>
            <w:r>
              <w:rPr>
                <w:rFonts w:ascii="Times New Roman" w:hAnsi="Times New Roman"/>
                <w:color w:val="000000"/>
                <w:sz w:val="22"/>
              </w:rPr>
              <w:t>20</w:t>
            </w:r>
          </w:p>
        </w:tc>
      </w:tr>
      <w:tr>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Times New Roman" w:hAnsi="Times New Roman"/>
                <w:color w:val="000000"/>
                <w:sz w:val="22"/>
              </w:rPr>
            </w:pPr>
            <w:r>
              <w:rPr>
                <w:rFonts w:ascii="Times New Roman" w:hAnsi="Times New Roman"/>
                <w:color w:val="000000"/>
                <w:sz w:val="22"/>
              </w:rPr>
              <w:t>20</w:t>
            </w:r>
          </w:p>
        </w:tc>
      </w:tr>
    </w:tbl>
    <w:p>
      <w:pPr>
        <w:spacing w:line="360" w:lineRule="auto"/>
        <w:rPr>
          <w:rFonts w:ascii="宋体" w:hAnsi="宋体"/>
          <w:b/>
          <w:szCs w:val="21"/>
        </w:rPr>
      </w:pPr>
    </w:p>
    <w:p>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p>
    <w:p>
      <w:pPr>
        <w:widowControl/>
        <w:jc w:val="left"/>
        <w:rPr>
          <w:rFonts w:ascii="宋体" w:hAnsi="宋体"/>
          <w:b/>
          <w:sz w:val="32"/>
          <w:szCs w:val="32"/>
        </w:rPr>
      </w:pPr>
    </w:p>
    <w:p>
      <w:pPr>
        <w:widowControl/>
        <w:jc w:val="left"/>
        <w:rPr>
          <w:rFonts w:ascii="宋体" w:hAnsi="宋体"/>
          <w:b/>
          <w:sz w:val="32"/>
          <w:szCs w:val="32"/>
        </w:rPr>
      </w:pPr>
      <w:r>
        <w:rPr>
          <w:rFonts w:ascii="宋体" w:hAnsi="宋体"/>
          <w:b/>
          <w:sz w:val="32"/>
          <w:szCs w:val="32"/>
        </w:rPr>
        <w:br w:type="page"/>
      </w:r>
    </w:p>
    <w:p>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pPr>
        <w:pStyle w:val="5"/>
        <w:spacing w:before="156" w:after="156" w:line="360" w:lineRule="auto"/>
        <w:ind w:firstLine="480" w:firstLineChars="200"/>
        <w:rPr>
          <w:rFonts w:hAnsi="宋体" w:cs="宋体"/>
        </w:rPr>
      </w:pPr>
      <w:r>
        <w:rPr>
          <w:rFonts w:hint="eastAsia" w:hAnsi="宋体" w:cs="宋体"/>
        </w:rPr>
        <w:t>说明：</w:t>
      </w:r>
    </w:p>
    <w:p>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pPr>
        <w:spacing w:line="360" w:lineRule="auto"/>
        <w:ind w:firstLine="2731" w:firstLineChars="850"/>
        <w:rPr>
          <w:rFonts w:ascii="宋体" w:hAnsi="宋体"/>
          <w:b/>
          <w:sz w:val="32"/>
          <w:szCs w:val="32"/>
        </w:rPr>
      </w:pPr>
    </w:p>
    <w:p>
      <w:pPr>
        <w:widowControl/>
        <w:jc w:val="left"/>
        <w:rPr>
          <w:rFonts w:ascii="Times New Roman" w:hAnsi="Times New Roman"/>
          <w:b/>
          <w:bCs/>
          <w:sz w:val="32"/>
          <w:szCs w:val="40"/>
        </w:rPr>
      </w:pPr>
      <w:r>
        <w:rPr>
          <w:rFonts w:ascii="Times New Roman" w:hAnsi="Times New Roman"/>
          <w:b/>
          <w:bCs/>
          <w:sz w:val="32"/>
          <w:szCs w:val="40"/>
        </w:rPr>
        <w:br w:type="page"/>
      </w:r>
    </w:p>
    <w:p>
      <w:pPr>
        <w:rPr>
          <w:rFonts w:ascii="Times New Roman" w:hAnsi="Times New Roman"/>
          <w:b/>
          <w:bCs/>
          <w:kern w:val="0"/>
          <w:sz w:val="44"/>
          <w:szCs w:val="28"/>
        </w:rPr>
      </w:pPr>
      <w:r>
        <w:rPr>
          <w:rFonts w:ascii="Times New Roman" w:hAnsi="Times New Roman"/>
          <w:b/>
          <w:bCs/>
          <w:sz w:val="32"/>
          <w:szCs w:val="40"/>
        </w:rPr>
        <w:t>封面</w:t>
      </w:r>
    </w:p>
    <w:p>
      <w:pPr>
        <w:tabs>
          <w:tab w:val="left" w:pos="2580"/>
          <w:tab w:val="left" w:pos="5940"/>
        </w:tabs>
        <w:autoSpaceDE w:val="0"/>
        <w:autoSpaceDN w:val="0"/>
        <w:adjustRightInd w:val="0"/>
        <w:spacing w:line="300" w:lineRule="auto"/>
        <w:ind w:right="-20" w:firstLine="735" w:firstLineChars="350"/>
        <w:rPr>
          <w:rFonts w:ascii="Times New Roman" w:hAnsi="Times New Roman"/>
        </w:rPr>
      </w:pPr>
    </w:p>
    <w:p>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pPr>
        <w:tabs>
          <w:tab w:val="left" w:pos="2580"/>
          <w:tab w:val="left" w:pos="5940"/>
        </w:tabs>
        <w:autoSpaceDE w:val="0"/>
        <w:autoSpaceDN w:val="0"/>
        <w:adjustRightInd w:val="0"/>
        <w:spacing w:line="300" w:lineRule="auto"/>
        <w:ind w:right="-20"/>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pPr>
        <w:tabs>
          <w:tab w:val="left" w:pos="1805"/>
          <w:tab w:val="left" w:pos="5360"/>
        </w:tabs>
        <w:autoSpaceDE w:val="0"/>
        <w:autoSpaceDN w:val="0"/>
        <w:adjustRightInd w:val="0"/>
        <w:spacing w:line="300" w:lineRule="auto"/>
        <w:ind w:right="-20"/>
        <w:jc w:val="center"/>
        <w:rPr>
          <w:rFonts w:ascii="Times New Roman" w:hAnsi="Times New Roman"/>
          <w:sz w:val="72"/>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pPr>
        <w:widowControl/>
        <w:jc w:val="left"/>
        <w:rPr>
          <w:rFonts w:ascii="Times New Roman" w:hAnsi="Times New Roman"/>
          <w:sz w:val="28"/>
        </w:rPr>
      </w:pPr>
      <w:r>
        <w:rPr>
          <w:rFonts w:ascii="Times New Roman" w:hAnsi="Times New Roman"/>
          <w:sz w:val="28"/>
        </w:rPr>
        <w:br w:type="page"/>
      </w:r>
    </w:p>
    <w:p>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pPr>
        <w:widowControl/>
        <w:jc w:val="left"/>
        <w:rPr>
          <w:rFonts w:ascii="宋体" w:hAnsi="宋体"/>
          <w:color w:val="000000"/>
          <w:sz w:val="24"/>
          <w:szCs w:val="24"/>
        </w:rPr>
      </w:pPr>
    </w:p>
    <w:p>
      <w:pPr>
        <w:widowControl/>
        <w:jc w:val="left"/>
        <w:rPr>
          <w:rFonts w:ascii="宋体" w:hAnsi="宋体"/>
          <w:b/>
          <w:bCs/>
          <w:sz w:val="28"/>
          <w:szCs w:val="28"/>
        </w:rPr>
      </w:pPr>
      <w:r>
        <w:rPr>
          <w:rFonts w:ascii="宋体" w:hAnsi="宋体"/>
          <w:b/>
          <w:bCs/>
          <w:sz w:val="28"/>
          <w:szCs w:val="28"/>
        </w:rPr>
        <w:br w:type="page"/>
      </w:r>
    </w:p>
    <w:p>
      <w:pPr>
        <w:widowControl/>
        <w:jc w:val="left"/>
        <w:rPr>
          <w:rFonts w:ascii="宋体" w:hAnsi="宋体"/>
          <w:b/>
          <w:bCs/>
          <w:sz w:val="28"/>
          <w:szCs w:val="28"/>
        </w:rPr>
      </w:pPr>
      <w:r>
        <w:rPr>
          <w:rFonts w:ascii="宋体" w:hAnsi="宋体"/>
          <w:b/>
          <w:bCs/>
          <w:sz w:val="28"/>
          <w:szCs w:val="28"/>
        </w:rPr>
        <w:t>附件一</w:t>
      </w:r>
    </w:p>
    <w:p>
      <w:pPr>
        <w:widowControl/>
        <w:jc w:val="center"/>
        <w:rPr>
          <w:rFonts w:ascii="宋体" w:hAnsi="宋体"/>
          <w:b/>
          <w:bCs/>
          <w:sz w:val="28"/>
          <w:szCs w:val="28"/>
        </w:rPr>
      </w:pPr>
      <w:r>
        <w:rPr>
          <w:rFonts w:ascii="宋体" w:hAnsi="宋体"/>
          <w:b/>
          <w:bCs/>
          <w:sz w:val="28"/>
          <w:szCs w:val="28"/>
        </w:rPr>
        <w:t>资格证明文件</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pPr>
        <w:widowControl/>
        <w:jc w:val="left"/>
        <w:rPr>
          <w:rFonts w:ascii="宋体" w:hAnsi="宋体" w:cs="宋体" w:eastAsiaTheme="minorEastAsia"/>
          <w:szCs w:val="21"/>
          <w:highlight w:val="lightGray"/>
        </w:rPr>
      </w:pPr>
      <w:r>
        <w:rPr>
          <w:rFonts w:cs="宋体"/>
          <w:szCs w:val="21"/>
          <w:highlight w:val="lightGray"/>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pPr>
        <w:pStyle w:val="9"/>
        <w:adjustRightInd w:val="0"/>
        <w:snapToGrid w:val="0"/>
        <w:spacing w:before="0" w:beforeAutospacing="0" w:after="0" w:afterAutospacing="0" w:line="360" w:lineRule="auto"/>
        <w:ind w:left="420" w:leftChars="200"/>
        <w:rPr>
          <w:rFonts w:cs="宋体"/>
          <w:sz w:val="21"/>
          <w:szCs w:val="21"/>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pPr>
        <w:spacing w:line="480" w:lineRule="auto"/>
        <w:rPr>
          <w:rFonts w:ascii="宋体" w:hAnsi="宋体" w:cs="宋体"/>
          <w:szCs w:val="21"/>
          <w:u w:val="single"/>
        </w:rPr>
      </w:pPr>
    </w:p>
    <w:p>
      <w:pPr>
        <w:spacing w:line="480" w:lineRule="auto"/>
        <w:rPr>
          <w:rFonts w:ascii="宋体" w:hAnsi="宋体" w:cs="宋体"/>
          <w:sz w:val="24"/>
          <w:szCs w:val="21"/>
          <w:u w:val="single"/>
        </w:rPr>
      </w:pPr>
      <w:r>
        <w:rPr>
          <w:rFonts w:hint="eastAsia" w:ascii="宋体" w:hAnsi="宋体" w:cs="宋体"/>
          <w:sz w:val="24"/>
          <w:szCs w:val="21"/>
          <w:u w:val="single"/>
        </w:rPr>
        <w:t>（采购人）：</w:t>
      </w:r>
    </w:p>
    <w:p>
      <w:pPr>
        <w:pStyle w:val="9"/>
        <w:spacing w:before="0" w:beforeAutospacing="0" w:after="0" w:afterAutospacing="0" w:line="480" w:lineRule="auto"/>
        <w:ind w:firstLine="960" w:firstLineChars="400"/>
        <w:rPr>
          <w:rFonts w:cs="宋体"/>
          <w:szCs w:val="21"/>
        </w:rPr>
      </w:pPr>
    </w:p>
    <w:p>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我方具有履行本项目所必需的仓储条件；</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pPr>
        <w:pStyle w:val="9"/>
        <w:spacing w:before="0" w:beforeAutospacing="0" w:after="0" w:afterAutospacing="0" w:line="480" w:lineRule="auto"/>
        <w:ind w:firstLine="480" w:firstLineChars="200"/>
        <w:rPr>
          <w:rFonts w:cs="宋体"/>
          <w:szCs w:val="21"/>
        </w:rPr>
      </w:pPr>
    </w:p>
    <w:p>
      <w:pPr>
        <w:pStyle w:val="9"/>
        <w:spacing w:before="0" w:beforeAutospacing="0" w:after="0" w:afterAutospacing="0" w:line="480" w:lineRule="auto"/>
        <w:ind w:firstLine="482" w:firstLineChars="200"/>
        <w:rPr>
          <w:rFonts w:cs="宋体"/>
          <w:b/>
          <w:bCs/>
          <w:szCs w:val="21"/>
        </w:rPr>
      </w:pPr>
    </w:p>
    <w:p>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pPr>
        <w:pStyle w:val="3"/>
        <w:ind w:firstLine="470" w:firstLineChars="196"/>
        <w:rPr>
          <w:rFonts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pPr>
        <w:widowControl/>
        <w:jc w:val="left"/>
        <w:rPr>
          <w:rFonts w:ascii="宋体" w:hAnsi="宋体" w:cs="宋体"/>
          <w:b/>
          <w:bCs/>
          <w:szCs w:val="21"/>
        </w:rPr>
      </w:pPr>
      <w:r>
        <w:rPr>
          <w:rFonts w:ascii="宋体" w:hAnsi="宋体" w:cs="宋体"/>
          <w:szCs w:val="21"/>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pPr>
              <w:widowControl/>
              <w:autoSpaceDE w:val="0"/>
              <w:autoSpaceDN w:val="0"/>
              <w:jc w:val="center"/>
              <w:textAlignment w:val="bottom"/>
              <w:rPr>
                <w:rFonts w:ascii="Times New Roman" w:hAnsi="Times New Roman"/>
                <w:sz w:val="24"/>
              </w:rPr>
            </w:pPr>
          </w:p>
          <w:p>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pPr>
              <w:widowControl/>
              <w:autoSpaceDE w:val="0"/>
              <w:autoSpaceDN w:val="0"/>
              <w:ind w:left="390"/>
              <w:textAlignment w:val="bottom"/>
              <w:rPr>
                <w:rFonts w:ascii="Times New Roman" w:hAnsi="Times New Roman"/>
                <w:sz w:val="24"/>
              </w:rPr>
            </w:pPr>
          </w:p>
          <w:p>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pPr>
              <w:widowControl/>
              <w:autoSpaceDE w:val="0"/>
              <w:autoSpaceDN w:val="0"/>
              <w:spacing w:line="360" w:lineRule="auto"/>
              <w:ind w:left="390"/>
              <w:textAlignment w:val="bottom"/>
              <w:rPr>
                <w:rFonts w:ascii="Times New Roman" w:hAnsi="Times New Roman"/>
                <w:sz w:val="24"/>
              </w:rPr>
            </w:pPr>
          </w:p>
          <w:p>
            <w:pPr>
              <w:spacing w:line="360" w:lineRule="auto"/>
              <w:ind w:firstLine="405"/>
              <w:rPr>
                <w:rFonts w:ascii="Times New Roman" w:hAnsi="Times New Roman"/>
                <w:sz w:val="24"/>
              </w:rPr>
            </w:pPr>
            <w:r>
              <w:rPr>
                <w:rFonts w:ascii="Times New Roman" w:hAnsi="Times New Roman"/>
                <w:sz w:val="24"/>
              </w:rPr>
              <w:t>供应商全称（盖单位公章）：</w:t>
            </w:r>
          </w:p>
          <w:p>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pPr>
              <w:spacing w:line="360" w:lineRule="auto"/>
              <w:ind w:firstLine="405"/>
              <w:rPr>
                <w:rFonts w:ascii="Times New Roman" w:hAnsi="Times New Roman"/>
                <w:sz w:val="24"/>
              </w:rPr>
            </w:pPr>
            <w:r>
              <w:rPr>
                <w:rFonts w:ascii="Times New Roman" w:hAnsi="Times New Roman"/>
                <w:sz w:val="24"/>
              </w:rPr>
              <w:t>查询日期：</w:t>
            </w:r>
          </w:p>
          <w:p>
            <w:pPr>
              <w:spacing w:line="360" w:lineRule="auto"/>
              <w:ind w:firstLine="405"/>
              <w:rPr>
                <w:rFonts w:ascii="Times New Roman" w:hAnsi="Times New Roman"/>
                <w:sz w:val="24"/>
              </w:rPr>
            </w:pPr>
          </w:p>
          <w:p>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pPr>
        <w:pStyle w:val="15"/>
        <w:snapToGrid w:val="0"/>
        <w:spacing w:line="360" w:lineRule="auto"/>
        <w:ind w:left="426" w:firstLine="0" w:firstLineChars="0"/>
        <w:jc w:val="left"/>
        <w:rPr>
          <w:sz w:val="24"/>
          <w:szCs w:val="32"/>
        </w:rPr>
      </w:pPr>
    </w:p>
    <w:p>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pPr>
        <w:spacing w:line="360" w:lineRule="auto"/>
        <w:rPr>
          <w:rFonts w:ascii="Times New Roman" w:hAnsi="Times New Roman"/>
          <w:sz w:val="24"/>
          <w:szCs w:val="32"/>
        </w:rPr>
      </w:pPr>
    </w:p>
    <w:p>
      <w:pPr>
        <w:widowControl/>
        <w:jc w:val="left"/>
        <w:rPr>
          <w:rFonts w:ascii="宋体" w:hAnsi="宋体"/>
          <w:sz w:val="28"/>
          <w:szCs w:val="28"/>
        </w:rPr>
      </w:pPr>
      <w:r>
        <w:rPr>
          <w:rFonts w:ascii="宋体" w:hAnsi="宋体"/>
          <w:b/>
          <w:bCs/>
          <w:sz w:val="28"/>
          <w:szCs w:val="28"/>
        </w:rPr>
        <w:br w:type="page"/>
      </w:r>
    </w:p>
    <w:p>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pPr>
        <w:pStyle w:val="9"/>
        <w:adjustRightInd w:val="0"/>
        <w:snapToGrid w:val="0"/>
        <w:spacing w:before="0" w:beforeAutospacing="0" w:after="0" w:afterAutospacing="0" w:line="360" w:lineRule="auto"/>
        <w:jc w:val="center"/>
        <w:rPr>
          <w:rFonts w:cs="宋体"/>
          <w:sz w:val="32"/>
          <w:szCs w:val="32"/>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pPr>
        <w:pStyle w:val="15"/>
        <w:spacing w:line="480" w:lineRule="auto"/>
        <w:ind w:left="420" w:firstLine="0" w:firstLineChars="0"/>
        <w:rPr>
          <w:rFonts w:ascii="Times New Roman" w:hAnsi="Times New Roman"/>
          <w:sz w:val="24"/>
        </w:rPr>
      </w:pPr>
      <w:r>
        <w:rPr>
          <w:rFonts w:ascii="Times New Roman" w:hAnsi="Times New Roman"/>
          <w:sz w:val="24"/>
        </w:rPr>
        <w:t>特此声明！</w:t>
      </w: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pPr>
        <w:pStyle w:val="3"/>
        <w:ind w:firstLine="630" w:firstLineChars="196"/>
        <w:rPr>
          <w:rFonts w:ascii="宋体" w:hAnsi="宋体" w:eastAsia="宋体" w:cs="宋体"/>
          <w:szCs w:val="21"/>
        </w:rPr>
      </w:pPr>
    </w:p>
    <w:p>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pPr>
        <w:rPr>
          <w:rFonts w:ascii="宋体" w:hAnsi="宋体" w:cs="宋体"/>
          <w:szCs w:val="21"/>
        </w:rPr>
      </w:pPr>
    </w:p>
    <w:p>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pPr>
        <w:spacing w:line="360" w:lineRule="auto"/>
        <w:ind w:right="960"/>
        <w:jc w:val="right"/>
        <w:rPr>
          <w:rFonts w:ascii="宋体" w:hAnsi="宋体" w:cs="宋体"/>
          <w:szCs w:val="21"/>
        </w:rPr>
      </w:pPr>
    </w:p>
    <w:p>
      <w:pPr>
        <w:spacing w:line="360" w:lineRule="auto"/>
        <w:ind w:right="960"/>
        <w:jc w:val="left"/>
        <w:rPr>
          <w:rFonts w:ascii="宋体" w:hAnsi="宋体" w:cs="宋体"/>
          <w:sz w:val="24"/>
          <w:szCs w:val="21"/>
        </w:rPr>
      </w:pPr>
      <w:r>
        <w:rPr>
          <w:rFonts w:hint="eastAsia" w:ascii="宋体" w:hAnsi="宋体" w:cs="宋体"/>
          <w:sz w:val="24"/>
          <w:szCs w:val="21"/>
        </w:rPr>
        <w:t xml:space="preserve">供应商：（盖公章）       </w:t>
      </w:r>
    </w:p>
    <w:p>
      <w:pPr>
        <w:pStyle w:val="9"/>
        <w:spacing w:before="0" w:beforeAutospacing="0" w:after="0" w:afterAutospacing="0" w:line="480" w:lineRule="auto"/>
        <w:jc w:val="both"/>
        <w:rPr>
          <w:rFonts w:cs="宋体"/>
          <w:szCs w:val="21"/>
        </w:rPr>
      </w:pPr>
      <w:r>
        <w:rPr>
          <w:rFonts w:hint="eastAsia" w:cs="宋体"/>
          <w:szCs w:val="21"/>
        </w:rPr>
        <w:t>法定代表人或授权代表（签字或盖章）：</w:t>
      </w:r>
    </w:p>
    <w:p>
      <w:pPr>
        <w:autoSpaceDE w:val="0"/>
        <w:autoSpaceDN w:val="0"/>
        <w:adjustRightInd w:val="0"/>
        <w:ind w:right="1320"/>
        <w:rPr>
          <w:rFonts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附件二</w:t>
      </w:r>
    </w:p>
    <w:p>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pPr>
        <w:spacing w:line="360" w:lineRule="auto"/>
        <w:ind w:left="60"/>
        <w:rPr>
          <w:rFonts w:ascii="Times New Roman"/>
          <w:b/>
          <w:sz w:val="18"/>
          <w:szCs w:val="18"/>
        </w:rPr>
      </w:pPr>
    </w:p>
    <w:p>
      <w:pPr>
        <w:spacing w:line="360" w:lineRule="auto"/>
        <w:ind w:left="60"/>
        <w:rPr>
          <w:b/>
          <w:sz w:val="24"/>
          <w:szCs w:val="24"/>
        </w:rPr>
      </w:pPr>
      <w:r>
        <w:rPr>
          <w:rFonts w:hint="eastAsia"/>
          <w:b/>
          <w:sz w:val="24"/>
          <w:szCs w:val="24"/>
        </w:rPr>
        <w:t>浙江医院：</w:t>
      </w:r>
    </w:p>
    <w:p>
      <w:pPr>
        <w:spacing w:line="360" w:lineRule="auto"/>
        <w:ind w:left="60" w:firstLine="360"/>
        <w:rPr>
          <w:sz w:val="24"/>
          <w:szCs w:val="24"/>
        </w:rPr>
      </w:pPr>
      <w:r>
        <w:rPr>
          <w:rFonts w:hint="eastAsia"/>
          <w:sz w:val="24"/>
          <w:szCs w:val="24"/>
        </w:rPr>
        <w:t>本公司本着规范生产，合法经营的原则，特对贵院承诺如下：</w:t>
      </w:r>
    </w:p>
    <w:p>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pPr>
        <w:rPr>
          <w:sz w:val="24"/>
          <w:szCs w:val="24"/>
        </w:rPr>
      </w:pPr>
    </w:p>
    <w:p>
      <w:pPr>
        <w:rPr>
          <w:sz w:val="24"/>
          <w:szCs w:val="24"/>
        </w:rPr>
      </w:pPr>
    </w:p>
    <w:p>
      <w:pPr>
        <w:rPr>
          <w:sz w:val="24"/>
          <w:szCs w:val="24"/>
        </w:rPr>
      </w:pPr>
    </w:p>
    <w:p>
      <w:pPr>
        <w:rPr>
          <w:sz w:val="24"/>
          <w:szCs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pPr>
        <w:spacing w:line="300" w:lineRule="auto"/>
        <w:rPr>
          <w:rFonts w:ascii="Times New Roman" w:hAnsi="Times New Roman"/>
          <w:sz w:val="24"/>
        </w:rPr>
      </w:pPr>
    </w:p>
    <w:p>
      <w:pPr>
        <w:pStyle w:val="9"/>
        <w:spacing w:before="0" w:beforeAutospacing="0" w:after="0" w:afterAutospacing="0" w:line="480" w:lineRule="auto"/>
        <w:rPr>
          <w:rFonts w:cs="宋体"/>
          <w:szCs w:val="21"/>
        </w:rPr>
      </w:pPr>
      <w:r>
        <w:rPr>
          <w:rFonts w:hint="eastAsia" w:cs="宋体"/>
          <w:szCs w:val="21"/>
        </w:rPr>
        <w:t>法定代表人或授权代表（签字或盖章）：</w:t>
      </w:r>
    </w:p>
    <w:p>
      <w:pPr>
        <w:spacing w:line="300" w:lineRule="auto"/>
        <w:rPr>
          <w:rFonts w:ascii="Times New Roman" w:hAnsi="Times New Roman"/>
          <w:spacing w:val="20"/>
          <w:sz w:val="24"/>
          <w:u w:val="single"/>
        </w:rPr>
      </w:pP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附件三</w:t>
      </w:r>
    </w:p>
    <w:p>
      <w:pPr>
        <w:jc w:val="center"/>
        <w:rPr>
          <w:rFonts w:ascii="黑体" w:hAnsi="黑体" w:eastAsia="黑体"/>
          <w:b/>
          <w:sz w:val="32"/>
          <w:szCs w:val="32"/>
        </w:rPr>
      </w:pPr>
      <w:r>
        <w:rPr>
          <w:rFonts w:hint="eastAsia" w:ascii="黑体" w:hAnsi="黑体" w:eastAsia="黑体"/>
          <w:b/>
          <w:sz w:val="32"/>
          <w:szCs w:val="32"/>
        </w:rPr>
        <w:t>价格承诺书</w:t>
      </w:r>
    </w:p>
    <w:p/>
    <w:p>
      <w:pPr>
        <w:spacing w:line="360" w:lineRule="auto"/>
        <w:rPr>
          <w:sz w:val="24"/>
          <w:szCs w:val="24"/>
        </w:rPr>
      </w:pPr>
      <w:r>
        <w:rPr>
          <w:rFonts w:hint="eastAsia"/>
          <w:sz w:val="24"/>
          <w:szCs w:val="24"/>
        </w:rPr>
        <w:t>浙江医院：</w:t>
      </w:r>
    </w:p>
    <w:p>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pPr>
        <w:ind w:firstLine="420"/>
        <w:rPr>
          <w:sz w:val="28"/>
        </w:rPr>
      </w:pPr>
    </w:p>
    <w:p>
      <w:pPr>
        <w:ind w:firstLine="420"/>
        <w:rPr>
          <w:sz w:val="28"/>
        </w:rPr>
      </w:pPr>
    </w:p>
    <w:p>
      <w:pPr>
        <w:ind w:firstLine="420"/>
        <w:rPr>
          <w:sz w:val="28"/>
        </w:rPr>
      </w:pPr>
    </w:p>
    <w:p>
      <w:pPr>
        <w:ind w:firstLine="420"/>
        <w:rPr>
          <w:sz w:val="28"/>
        </w:rPr>
      </w:pPr>
    </w:p>
    <w:p>
      <w:pPr>
        <w:ind w:firstLine="420"/>
        <w:rPr>
          <w:sz w:val="28"/>
        </w:rPr>
      </w:pPr>
    </w:p>
    <w:p>
      <w:pPr>
        <w:spacing w:line="360" w:lineRule="auto"/>
        <w:jc w:val="right"/>
        <w:rPr>
          <w:sz w:val="24"/>
          <w:szCs w:val="24"/>
        </w:rPr>
      </w:pPr>
    </w:p>
    <w:p>
      <w:pPr>
        <w:spacing w:line="480" w:lineRule="auto"/>
        <w:jc w:val="left"/>
        <w:rPr>
          <w:sz w:val="24"/>
          <w:szCs w:val="24"/>
        </w:rPr>
      </w:pPr>
      <w:r>
        <w:rPr>
          <w:rFonts w:hint="eastAsia"/>
          <w:sz w:val="24"/>
          <w:szCs w:val="24"/>
        </w:rPr>
        <w:t xml:space="preserve">供应商名称（盖章）： </w:t>
      </w:r>
      <w:r>
        <w:rPr>
          <w:sz w:val="24"/>
          <w:szCs w:val="24"/>
        </w:rPr>
        <w:t xml:space="preserve">                   </w:t>
      </w:r>
    </w:p>
    <w:p>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pPr>
        <w:spacing w:line="300" w:lineRule="auto"/>
        <w:rPr>
          <w:sz w:val="24"/>
          <w:szCs w:val="24"/>
        </w:rPr>
      </w:pPr>
    </w:p>
    <w:p>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pPr>
        <w:ind w:firstLine="420"/>
        <w:rPr>
          <w:rFonts w:ascii="宋体" w:hAnsi="宋体" w:cs="宋体"/>
          <w:color w:val="000000"/>
          <w:kern w:val="0"/>
          <w:sz w:val="22"/>
        </w:rPr>
      </w:pPr>
    </w:p>
    <w:p>
      <w:pPr>
        <w:ind w:firstLine="420"/>
        <w:rPr>
          <w:rFonts w:ascii="宋体" w:hAnsi="宋体" w:cs="宋体"/>
          <w:color w:val="000000"/>
          <w:kern w:val="0"/>
          <w:sz w:val="22"/>
        </w:rPr>
      </w:pPr>
    </w:p>
    <w:p>
      <w:pPr>
        <w:widowControl/>
        <w:jc w:val="left"/>
        <w:rPr>
          <w:rFonts w:ascii="宋体" w:hAnsi="宋体" w:cs="宋体"/>
          <w:color w:val="000000"/>
          <w:kern w:val="0"/>
          <w:sz w:val="22"/>
        </w:rPr>
      </w:pPr>
      <w:r>
        <w:rPr>
          <w:rFonts w:ascii="宋体" w:hAnsi="宋体" w:cs="宋体"/>
          <w:color w:val="000000"/>
          <w:kern w:val="0"/>
          <w:sz w:val="22"/>
        </w:rPr>
        <w:br w:type="page"/>
      </w:r>
    </w:p>
    <w:p>
      <w:pPr>
        <w:widowControl/>
        <w:jc w:val="left"/>
        <w:rPr>
          <w:rFonts w:ascii="宋体" w:hAnsi="宋体"/>
          <w:b/>
          <w:bCs/>
          <w:sz w:val="28"/>
          <w:szCs w:val="28"/>
        </w:rPr>
      </w:pPr>
      <w:r>
        <w:rPr>
          <w:rFonts w:hint="eastAsia" w:ascii="宋体" w:hAnsi="宋体"/>
          <w:b/>
          <w:bCs/>
          <w:sz w:val="28"/>
          <w:szCs w:val="28"/>
        </w:rPr>
        <w:t>附件四</w:t>
      </w:r>
    </w:p>
    <w:p>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pPr>
        <w:jc w:val="center"/>
        <w:rPr>
          <w:rFonts w:ascii="Times New Roman" w:hAnsi="Times New Roman"/>
          <w:b/>
          <w:bCs/>
          <w:sz w:val="32"/>
          <w:szCs w:val="32"/>
        </w:rPr>
      </w:pPr>
      <w:r>
        <w:rPr>
          <w:rFonts w:ascii="Times New Roman" w:hAnsi="Times New Roman"/>
        </w:rPr>
        <w:t>（法定代表人签署时不需提供此书）</w:t>
      </w:r>
    </w:p>
    <w:p>
      <w:pPr>
        <w:spacing w:line="276" w:lineRule="auto"/>
        <w:rPr>
          <w:rFonts w:ascii="Times New Roman" w:hAnsi="Times New Roman"/>
          <w:bCs/>
          <w:sz w:val="24"/>
        </w:rPr>
      </w:pPr>
    </w:p>
    <w:p>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pPr>
        <w:spacing w:line="276" w:lineRule="auto"/>
        <w:ind w:firstLine="480" w:firstLineChars="200"/>
        <w:rPr>
          <w:rFonts w:ascii="Times New Roman" w:hAnsi="Times New Roman"/>
          <w:sz w:val="24"/>
        </w:rPr>
      </w:pPr>
    </w:p>
    <w:p>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pPr>
        <w:spacing w:line="360" w:lineRule="auto"/>
        <w:rPr>
          <w:rFonts w:ascii="Times New Roman" w:hAnsi="Times New Roman"/>
          <w:sz w:val="24"/>
        </w:rPr>
      </w:pPr>
    </w:p>
    <w:p>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pPr>
        <w:spacing w:line="300" w:lineRule="auto"/>
        <w:rPr>
          <w:rFonts w:ascii="Times New Roman" w:hAnsi="Times New Roman"/>
          <w:sz w:val="24"/>
        </w:rPr>
      </w:pPr>
    </w:p>
    <w:p>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pPr>
        <w:spacing w:line="300" w:lineRule="auto"/>
        <w:rPr>
          <w:rFonts w:ascii="Times New Roman" w:hAnsi="Times New Roman"/>
          <w:sz w:val="24"/>
          <w:u w:val="single"/>
        </w:rPr>
      </w:pPr>
    </w:p>
    <w:p>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法定代表人身份证复印件</w:t>
            </w:r>
          </w:p>
          <w:p>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pPr>
              <w:widowControl/>
              <w:jc w:val="left"/>
              <w:rPr>
                <w:rFonts w:ascii="Times New Roman" w:hAnsi="Times New Roman"/>
                <w:sz w:val="24"/>
              </w:rPr>
            </w:pPr>
          </w:p>
          <w:p>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被授权人身份证复印件</w:t>
            </w:r>
          </w:p>
        </w:tc>
      </w:tr>
    </w:tbl>
    <w:p>
      <w:pPr>
        <w:widowControl/>
        <w:autoSpaceDE w:val="0"/>
        <w:autoSpaceDN w:val="0"/>
        <w:spacing w:line="360" w:lineRule="auto"/>
        <w:jc w:val="center"/>
        <w:textAlignment w:val="bottom"/>
        <w:rPr>
          <w:rFonts w:ascii="Times New Roman" w:hAnsi="Times New Roman"/>
          <w:sz w:val="24"/>
        </w:rPr>
      </w:pP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附件五</w:t>
      </w:r>
    </w:p>
    <w:p>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bl>
    <w:p>
      <w:pPr>
        <w:spacing w:line="360" w:lineRule="auto"/>
        <w:rPr>
          <w:rFonts w:ascii="Times New Roman" w:hAnsi="Times New Roman"/>
          <w:sz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pPr>
        <w:spacing w:line="300" w:lineRule="auto"/>
        <w:rPr>
          <w:rFonts w:ascii="Times New Roman" w:hAnsi="Times New Roman"/>
          <w:sz w:val="24"/>
        </w:rPr>
      </w:pPr>
    </w:p>
    <w:p>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spacing w:line="300" w:lineRule="auto"/>
        <w:rPr>
          <w:rFonts w:ascii="Times New Roman" w:hAnsi="Times New Roman"/>
          <w:sz w:val="24"/>
        </w:rPr>
      </w:pPr>
    </w:p>
    <w:p>
      <w:pPr>
        <w:spacing w:line="360" w:lineRule="auto"/>
        <w:rPr>
          <w:rFonts w:ascii="Times New Roman" w:hAnsi="Times New Roman"/>
          <w:sz w:val="24"/>
        </w:rPr>
      </w:pPr>
    </w:p>
    <w:p>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pPr>
        <w:rPr>
          <w:rFonts w:ascii="宋体" w:hAnsi="宋体" w:cs="宋体"/>
          <w:color w:val="000000"/>
          <w:kern w:val="0"/>
          <w:sz w:val="22"/>
        </w:rPr>
      </w:pPr>
    </w:p>
    <w:p>
      <w:pPr>
        <w:widowControl/>
        <w:jc w:val="left"/>
        <w:rPr>
          <w:rFonts w:ascii="宋体" w:hAnsi="宋体" w:cs="宋体"/>
          <w:color w:val="000000"/>
          <w:kern w:val="0"/>
          <w:sz w:val="22"/>
        </w:rPr>
      </w:pPr>
    </w:p>
    <w:p>
      <w:pPr>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845E4"/>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3CBE4D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uiPriority w:val="99"/>
    <w:rPr>
      <w:rFonts w:ascii="Times New Roman" w:hAnsi="Times New Roman"/>
      <w:sz w:val="18"/>
      <w:szCs w:val="18"/>
    </w:rPr>
  </w:style>
  <w:style w:type="paragraph" w:styleId="7">
    <w:name w:val="footer"/>
    <w:basedOn w:val="1"/>
    <w:link w:val="19"/>
    <w:unhideWhenUsed/>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uiPriority w:val="0"/>
  </w:style>
  <w:style w:type="character" w:styleId="14">
    <w:name w:val="Hyperlink"/>
    <w:basedOn w:val="12"/>
    <w:unhideWhenUsed/>
    <w:uiPriority w:val="99"/>
    <w:rPr>
      <w:color w:val="0563C1" w:themeColor="hyperlink"/>
      <w:u w:val="single"/>
    </w:rPr>
  </w:style>
  <w:style w:type="paragraph" w:styleId="15">
    <w:name w:val="List Paragraph"/>
    <w:basedOn w:val="1"/>
    <w:qFormat/>
    <w:uiPriority w:val="34"/>
    <w:pPr>
      <w:ind w:firstLine="420" w:firstLineChars="200"/>
    </w:pPr>
  </w:style>
  <w:style w:type="character" w:customStyle="1" w:styleId="16">
    <w:name w:val="标题 1 Char"/>
    <w:basedOn w:val="12"/>
    <w:link w:val="2"/>
    <w:uiPriority w:val="9"/>
    <w:rPr>
      <w:rFonts w:ascii="Calibri" w:hAnsi="Calibri" w:eastAsia="宋体" w:cs="Times New Roman"/>
      <w:b/>
      <w:bCs/>
      <w:kern w:val="44"/>
      <w:sz w:val="44"/>
      <w:szCs w:val="44"/>
    </w:rPr>
  </w:style>
  <w:style w:type="character" w:customStyle="1" w:styleId="17">
    <w:name w:val="标题 2 Char"/>
    <w:basedOn w:val="12"/>
    <w:link w:val="3"/>
    <w:uiPriority w:val="9"/>
    <w:rPr>
      <w:rFonts w:asciiTheme="majorHAnsi" w:hAnsiTheme="majorHAnsi" w:eastAsiaTheme="majorEastAsia" w:cstheme="majorBidi"/>
      <w:b/>
      <w:bCs/>
      <w:sz w:val="32"/>
      <w:szCs w:val="32"/>
    </w:rPr>
  </w:style>
  <w:style w:type="character" w:customStyle="1" w:styleId="18">
    <w:name w:val="页眉 Char"/>
    <w:basedOn w:val="12"/>
    <w:link w:val="8"/>
    <w:uiPriority w:val="99"/>
    <w:rPr>
      <w:sz w:val="18"/>
      <w:szCs w:val="18"/>
    </w:rPr>
  </w:style>
  <w:style w:type="character" w:customStyle="1" w:styleId="19">
    <w:name w:val="页脚 Char"/>
    <w:basedOn w:val="12"/>
    <w:link w:val="7"/>
    <w:uiPriority w:val="0"/>
    <w:rPr>
      <w:sz w:val="18"/>
      <w:szCs w:val="18"/>
    </w:rPr>
  </w:style>
  <w:style w:type="character" w:customStyle="1" w:styleId="20">
    <w:name w:val="批注框文本 Char"/>
    <w:basedOn w:val="12"/>
    <w:link w:val="6"/>
    <w:semiHidden/>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locked/>
    <w:uiPriority w:val="0"/>
    <w:rPr>
      <w:rFonts w:ascii="宋体" w:hAnsi="Courier New" w:eastAsia="Times New Roman"/>
      <w:sz w:val="24"/>
      <w:szCs w:val="24"/>
    </w:rPr>
  </w:style>
  <w:style w:type="character" w:customStyle="1" w:styleId="28">
    <w:name w:val="纯文本 Char1"/>
    <w:basedOn w:val="12"/>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uiPriority w:val="0"/>
    <w:rPr>
      <w:rFonts w:ascii="Calibri" w:hAnsi="Calibri" w:eastAsia="宋体" w:cs="Times New Roman"/>
      <w:bCs w:val="0"/>
      <w:sz w:val="24"/>
      <w:szCs w:val="32"/>
    </w:rPr>
  </w:style>
  <w:style w:type="character" w:customStyle="1" w:styleId="31">
    <w:name w:val="标题 3 Char"/>
    <w:basedOn w:val="12"/>
    <w:link w:val="4"/>
    <w:semiHidden/>
    <w:uiPriority w:val="9"/>
    <w:rPr>
      <w:rFonts w:ascii="Calibri" w:hAnsi="Calibri" w:eastAsia="宋体" w:cs="Times New Roman"/>
      <w:b/>
      <w:bCs/>
      <w:sz w:val="32"/>
      <w:szCs w:val="32"/>
    </w:rPr>
  </w:style>
  <w:style w:type="character" w:customStyle="1" w:styleId="32">
    <w:name w:val="普通(网站) Char"/>
    <w:link w:val="9"/>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61A4A-C62F-4CE4-825C-B4C70F25BD4D}">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22</Pages>
  <Words>964</Words>
  <Characters>5498</Characters>
  <Lines>45</Lines>
  <Paragraphs>12</Paragraphs>
  <TotalTime>2</TotalTime>
  <ScaleCrop>false</ScaleCrop>
  <LinksUpToDate>false</LinksUpToDate>
  <CharactersWithSpaces>6450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2024-05-07T08:59:53Z</dcterms:modified>
  <cp:revision>197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F77D9D9617D3418D864DD71B60E9220D_12</vt:lpwstr>
  </property>
</Properties>
</file>