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lang w:val="en-US" w:eastAsia="zh-CN"/>
        </w:rPr>
        <w:t>体外诊断试剂</w:t>
      </w:r>
      <w:r>
        <w:rPr>
          <w:rFonts w:hint="eastAsia" w:ascii="黑体" w:hAnsi="黑体" w:eastAsia="黑体"/>
          <w:spacing w:val="40"/>
          <w:sz w:val="72"/>
          <w:szCs w:val="52"/>
        </w:rPr>
        <w:t>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w:t>
      </w:r>
    </w:p>
    <w:p>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4005</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4</w:t>
      </w:r>
      <w:r>
        <w:rPr>
          <w:rFonts w:ascii="黑体" w:hAnsi="黑体" w:eastAsia="黑体"/>
          <w:sz w:val="32"/>
          <w:szCs w:val="32"/>
        </w:rPr>
        <w:t>年</w:t>
      </w:r>
      <w:r>
        <w:rPr>
          <w:rFonts w:hint="eastAsia" w:ascii="黑体" w:hAnsi="黑体" w:eastAsia="黑体"/>
          <w:sz w:val="32"/>
          <w:szCs w:val="32"/>
        </w:rPr>
        <w:t>0</w:t>
      </w:r>
      <w:r>
        <w:rPr>
          <w:rFonts w:hint="eastAsia" w:ascii="黑体" w:hAnsi="黑体" w:eastAsia="黑体"/>
          <w:sz w:val="32"/>
          <w:szCs w:val="32"/>
          <w:lang w:val="en-US" w:eastAsia="zh-CN"/>
        </w:rPr>
        <w:t>6</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ZJYYHCZB-2022***</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8"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625"/>
        <w:gridCol w:w="4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标项号</w:t>
            </w:r>
          </w:p>
        </w:tc>
        <w:tc>
          <w:tcPr>
            <w:tcW w:w="2625" w:type="dxa"/>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456" w:type="dxa"/>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rPr>
              <w:t>1</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尿常规留样尿杯、尿管、干化学试条及配套试剂</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用于尿液常规分析检测，标本种类为尿液。需要仪器自动化免揭盖检测，提供配套设备租赁方案。使用地点：两院区检验科。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rPr>
              <w:t>2</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粪便采样杯、隐血试验胶体金试条及配套试剂</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用于粪便常规分析检测，标本种类为粪便。需要仪器自动化免揭盖检测，提供配套设备租赁方案。使用地点：两院区检验科。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rPr>
              <w:t>3</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血气分析试剂包</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用于患者血液气体分析检测。提供配套设备租赁方案。使用地点：两院区检验科。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rPr>
              <w:t>4</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血气分析试剂包</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用于患者血液气体分析检测。提供配套设备租赁方案。使用地点：两院区麻醉科、三墩ICU。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5</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肺炎支原体核酸及耐药突变位点检测试剂</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用于体外定性检测痰液样本中肺炎支原体及其抗大环内酯类抗生素突变位点（23SrRNA2063/23SrRNA2064）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6</w:t>
            </w:r>
          </w:p>
        </w:tc>
        <w:tc>
          <w:tcPr>
            <w:tcW w:w="26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心肺功能检测试剂</w:t>
            </w:r>
          </w:p>
        </w:tc>
        <w:tc>
          <w:tcPr>
            <w:tcW w:w="4456"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包括肌酸激酶同工酶、肌红蛋白、高敏肌钙蛋白I、B型钠尿肽和D-二聚体。提供配套设备租赁方案。使用地点：灵隐院区急诊。需提供单人份或少量人份的包装。</w:t>
            </w:r>
          </w:p>
        </w:tc>
      </w:tr>
    </w:tbl>
    <w:p>
      <w:pPr>
        <w:spacing w:line="360" w:lineRule="auto"/>
        <w:ind w:left="480"/>
        <w:rPr>
          <w:rFonts w:ascii="宋体" w:hAnsi="宋体"/>
          <w:color w:val="000000" w:themeColor="text1"/>
          <w:sz w:val="24"/>
        </w:rPr>
      </w:pP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谈判文件发放：医院官网下载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spacing w:line="360" w:lineRule="auto"/>
        <w:ind w:left="48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4</w:t>
      </w:r>
      <w:r>
        <w:rPr>
          <w:rFonts w:hint="eastAsia" w:ascii="宋体" w:hAnsi="宋体"/>
          <w:bCs/>
          <w:color w:val="000000" w:themeColor="text1"/>
          <w:sz w:val="24"/>
        </w:rPr>
        <w:t>年</w:t>
      </w:r>
      <w:r>
        <w:rPr>
          <w:rFonts w:ascii="宋体" w:hAnsi="宋体"/>
          <w:bCs/>
          <w:color w:val="000000" w:themeColor="text1"/>
          <w:sz w:val="24"/>
        </w:rPr>
        <w:t>7</w:t>
      </w:r>
      <w:r>
        <w:rPr>
          <w:rFonts w:hint="eastAsia" w:ascii="宋体" w:hAnsi="宋体"/>
          <w:bCs/>
          <w:color w:val="000000" w:themeColor="text1"/>
          <w:sz w:val="24"/>
        </w:rPr>
        <w:t>月</w:t>
      </w:r>
      <w:r>
        <w:rPr>
          <w:rFonts w:hint="eastAsia" w:ascii="宋体" w:hAnsi="宋体"/>
          <w:bCs/>
          <w:color w:val="000000" w:themeColor="text1"/>
          <w:sz w:val="24"/>
          <w:lang w:val="en-US" w:eastAsia="zh-CN"/>
        </w:rPr>
        <w:t>5</w:t>
      </w:r>
      <w:r>
        <w:rPr>
          <w:rFonts w:hint="eastAsia" w:ascii="宋体" w:hAnsi="宋体"/>
          <w:bCs/>
          <w:color w:val="000000" w:themeColor="text1"/>
          <w:sz w:val="24"/>
        </w:rPr>
        <w:t xml:space="preserve">日 </w:t>
      </w:r>
      <w:r>
        <w:rPr>
          <w:rFonts w:ascii="宋体" w:hAnsi="宋体"/>
          <w:bCs/>
          <w:color w:val="000000" w:themeColor="text1"/>
          <w:sz w:val="24"/>
        </w:rPr>
        <w:t>17:00前</w:t>
      </w:r>
    </w:p>
    <w:p>
      <w:pPr>
        <w:spacing w:line="360" w:lineRule="auto"/>
        <w:ind w:left="480"/>
        <w:rPr>
          <w:rFonts w:ascii="宋体" w:hAnsi="宋体"/>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502</w:t>
      </w:r>
      <w:r>
        <w:rPr>
          <w:sz w:val="24"/>
          <w:szCs w:val="24"/>
        </w:rPr>
        <w:t>房间</w:t>
      </w:r>
      <w:r>
        <w:rPr>
          <w:rFonts w:hint="eastAsia"/>
          <w:sz w:val="24"/>
          <w:szCs w:val="24"/>
        </w:rPr>
        <w:t>。</w:t>
      </w:r>
      <w:r>
        <w:rPr>
          <w:rFonts w:ascii="宋体" w:hAnsi="宋体"/>
          <w:bCs/>
          <w:color w:val="000000" w:themeColor="text1"/>
          <w:sz w:val="24"/>
        </w:rPr>
        <w:t>其余响应文件（副本）密封于开标日送至。</w:t>
      </w:r>
    </w:p>
    <w:p>
      <w:pPr>
        <w:spacing w:line="360" w:lineRule="auto"/>
        <w:ind w:left="48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p>
    <w:p>
      <w:pPr>
        <w:spacing w:line="360" w:lineRule="auto"/>
        <w:rPr>
          <w:sz w:val="24"/>
          <w:szCs w:val="24"/>
        </w:rPr>
      </w:pPr>
      <w:r>
        <w:rPr>
          <w:rFonts w:ascii="宋体" w:hAnsi="宋体"/>
          <w:sz w:val="24"/>
        </w:rPr>
        <w:t>七</w:t>
      </w:r>
      <w:r>
        <w:rPr>
          <w:sz w:val="24"/>
          <w:szCs w:val="24"/>
        </w:rPr>
        <w:t>、</w:t>
      </w:r>
      <w:r>
        <w:rPr>
          <w:rFonts w:hint="eastAsia"/>
          <w:sz w:val="24"/>
          <w:szCs w:val="24"/>
        </w:rPr>
        <w:t>谈判</w:t>
      </w:r>
      <w:r>
        <w:rPr>
          <w:sz w:val="24"/>
          <w:szCs w:val="24"/>
        </w:rPr>
        <w:t>时间和地点：</w:t>
      </w:r>
    </w:p>
    <w:p>
      <w:pPr>
        <w:spacing w:line="360" w:lineRule="auto"/>
        <w:ind w:left="48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rFonts w:hint="eastAsia"/>
          <w:sz w:val="24"/>
          <w:szCs w:val="24"/>
          <w:lang w:val="en-US" w:eastAsia="zh-CN"/>
        </w:rPr>
        <w:t>02</w:t>
      </w:r>
      <w:r>
        <w:rPr>
          <w:sz w:val="24"/>
          <w:szCs w:val="24"/>
        </w:rPr>
        <w:t>房间</w:t>
      </w:r>
      <w:r>
        <w:rPr>
          <w:rFonts w:ascii="宋体" w:hAnsi="宋体"/>
          <w:sz w:val="24"/>
        </w:rPr>
        <w:t xml:space="preserve"> </w:t>
      </w:r>
    </w:p>
    <w:p>
      <w:pPr>
        <w:spacing w:line="360" w:lineRule="auto"/>
        <w:ind w:left="480"/>
        <w:rPr>
          <w:rFonts w:hint="default" w:ascii="宋体" w:hAnsi="宋体" w:eastAsia="宋体"/>
          <w:sz w:val="24"/>
          <w:lang w:val="en-US" w:eastAsia="zh-CN"/>
        </w:rPr>
      </w:pPr>
      <w:r>
        <w:rPr>
          <w:rFonts w:hint="eastAsia" w:ascii="宋体" w:hAnsi="宋体"/>
          <w:sz w:val="24"/>
        </w:rPr>
        <w:t>联系人：褚老师</w:t>
      </w:r>
      <w:r>
        <w:rPr>
          <w:rFonts w:hint="eastAsia" w:ascii="宋体" w:hAnsi="宋体"/>
          <w:sz w:val="24"/>
          <w:lang w:eastAsia="zh-CN"/>
        </w:rPr>
        <w:t>、</w:t>
      </w:r>
      <w:r>
        <w:rPr>
          <w:rFonts w:hint="eastAsia" w:ascii="宋体" w:hAnsi="宋体"/>
          <w:sz w:val="24"/>
          <w:lang w:val="en-US" w:eastAsia="zh-CN"/>
        </w:rPr>
        <w:t>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color w:val="000000"/>
          <w:sz w:val="24"/>
        </w:rPr>
        <w:t xml:space="preserve">。 </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配套设备要求（若有）</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供应商提供并负责合作期限内的设备保修，提供所有的配件、易损品和消耗品。设备配件使用原装配套，更换周期按照说明书使用期限。</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如设备在日常运行工作中出现故障，影响检验报告签发，由供方负责解决；如72小时不能修复，需无偿提供同档次备机供医院使用，或负责外送。</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需冷藏冷冻运输的试剂必须按照冷链要求进行配送，并提供全程温度记录单。</w:t>
      </w:r>
      <w:bookmarkStart w:id="1" w:name="_GoBack"/>
      <w:bookmarkEnd w:id="1"/>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投标试剂名称、规格必须与注册证和外包装名称、规格一致。相关校准品和质控品也需有对应的医疗器械注册证。</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医院只采购检测主试剂，其他所有相关试剂、耗材由供应商提供。试剂报价包含校准品、质控品，以及完成一个测试所需的主试剂和所有辅助的试剂和耗材，和设备维护保养所需的所有耗材。</w:t>
      </w:r>
    </w:p>
    <w:p>
      <w:pPr>
        <w:tabs>
          <w:tab w:val="left" w:pos="540"/>
        </w:tabs>
        <w:spacing w:line="360" w:lineRule="auto"/>
        <w:rPr>
          <w:rFonts w:ascii="宋体" w:hAnsi="宋体"/>
          <w:color w:val="000000"/>
          <w:sz w:val="24"/>
        </w:rPr>
      </w:pP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我方具有履行本项目合同所必需的设备和专业技术能力；</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4"/>
          <w:szCs w:val="21"/>
        </w:rPr>
      </w:pPr>
      <w:r>
        <w:rPr>
          <w:rFonts w:hint="eastAsia" w:ascii="宋体" w:hAnsi="宋体" w:eastAsia="宋体" w:cs="宋体"/>
          <w:b w:val="0"/>
          <w:sz w:val="24"/>
          <w:szCs w:val="21"/>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cs="宋体"/>
                <w:sz w:val="24"/>
                <w:szCs w:val="21"/>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4"/>
        </w:rPr>
      </w:pPr>
      <w:r>
        <w:rPr>
          <w:rFonts w:hint="eastAsia" w:ascii="宋体" w:hAnsi="宋体" w:cs="宋体"/>
          <w:sz w:val="24"/>
          <w:szCs w:val="24"/>
        </w:rPr>
        <w:t xml:space="preserve">供应商：（盖公章）       </w:t>
      </w:r>
    </w:p>
    <w:p>
      <w:pPr>
        <w:spacing w:line="360" w:lineRule="auto"/>
        <w:ind w:right="960"/>
        <w:jc w:val="left"/>
        <w:rPr>
          <w:rFonts w:ascii="宋体" w:hAnsi="宋体" w:cs="宋体"/>
          <w:sz w:val="24"/>
          <w:szCs w:val="24"/>
        </w:rPr>
      </w:pPr>
    </w:p>
    <w:p>
      <w:pPr>
        <w:autoSpaceDE w:val="0"/>
        <w:autoSpaceDN w:val="0"/>
        <w:adjustRightInd w:val="0"/>
        <w:ind w:right="480"/>
        <w:jc w:val="left"/>
        <w:rPr>
          <w:rFonts w:ascii="宋体" w:hAnsi="宋体" w:cs="宋体"/>
          <w:sz w:val="24"/>
          <w:szCs w:val="24"/>
        </w:rPr>
      </w:pPr>
      <w:r>
        <w:rPr>
          <w:rFonts w:hint="eastAsia" w:cs="宋体"/>
          <w:sz w:val="24"/>
          <w:szCs w:val="24"/>
        </w:rPr>
        <w:t>法定代表人或授权代表（签字或盖章）</w:t>
      </w:r>
      <w:r>
        <w:rPr>
          <w:rFonts w:hint="eastAsia" w:ascii="宋体" w:hAnsi="宋体" w:cs="宋体"/>
          <w:sz w:val="24"/>
          <w:szCs w:val="24"/>
        </w:rPr>
        <w:t xml:space="preserve">： </w:t>
      </w:r>
    </w:p>
    <w:p>
      <w:pPr>
        <w:autoSpaceDE w:val="0"/>
        <w:autoSpaceDN w:val="0"/>
        <w:adjustRightInd w:val="0"/>
        <w:ind w:right="480"/>
        <w:jc w:val="left"/>
        <w:rPr>
          <w:rFonts w:hint="eastAsia" w:ascii="宋体" w:hAnsi="宋体" w:cs="宋体"/>
          <w:sz w:val="24"/>
          <w:szCs w:val="24"/>
        </w:rPr>
      </w:pPr>
    </w:p>
    <w:p>
      <w:pPr>
        <w:spacing w:line="360" w:lineRule="atLeast"/>
        <w:jc w:val="left"/>
        <w:rPr>
          <w:rFonts w:ascii="宋体" w:hAnsi="宋体" w:cs="宋体"/>
          <w:sz w:val="24"/>
          <w:szCs w:val="24"/>
        </w:rPr>
      </w:pPr>
      <w:r>
        <w:rPr>
          <w:rFonts w:hint="eastAsia" w:ascii="宋体" w:hAnsi="宋体" w:cs="宋体"/>
          <w:sz w:val="24"/>
          <w:szCs w:val="24"/>
        </w:rPr>
        <w:t xml:space="preserve">日期： </w:t>
      </w:r>
      <w:r>
        <w:rPr>
          <w:rFonts w:ascii="宋体" w:hAnsi="宋体" w:cs="宋体"/>
          <w:sz w:val="24"/>
          <w:szCs w:val="24"/>
        </w:rPr>
        <w:t xml:space="preserve">   </w:t>
      </w:r>
      <w:r>
        <w:rPr>
          <w:rFonts w:hint="eastAsia" w:ascii="宋体" w:hAnsi="宋体" w:cs="宋体"/>
          <w:sz w:val="24"/>
          <w:szCs w:val="24"/>
        </w:rPr>
        <w:t>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本公司提供完善的销售供应和售后服务保障体系，接需方电话通知后24小时内到货（特殊情况另议），并负责货物搬运入库；加急情况下随叫随送。</w:t>
      </w:r>
    </w:p>
    <w:p>
      <w:pPr>
        <w:numPr>
          <w:ilvl w:val="0"/>
          <w:numId w:val="10"/>
        </w:numPr>
        <w:spacing w:line="360" w:lineRule="auto"/>
        <w:rPr>
          <w:sz w:val="24"/>
          <w:szCs w:val="24"/>
        </w:rPr>
      </w:pPr>
      <w:r>
        <w:rPr>
          <w:rFonts w:hint="eastAsia"/>
          <w:sz w:val="24"/>
          <w:szCs w:val="24"/>
        </w:rPr>
        <w:t>本公司若提供体外诊断试剂将全程无缝冷链运输，或采用具有冷链运输资质的物流公司送货，保证从制造商到医院的运输全过程中试剂温度始终符合要求，并能提供实时温度监测记录。若无法达到上述要求，医院可做退货处理，并由本公司承担一切责任。</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rFonts w:hint="eastAsia"/>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pPr>
        <w:widowControl/>
        <w:jc w:val="left"/>
        <w:rPr>
          <w:rFonts w:ascii="宋体" w:hAnsi="宋体"/>
          <w:b/>
          <w:bCs/>
          <w:sz w:val="28"/>
          <w:szCs w:val="28"/>
        </w:rPr>
      </w:pPr>
      <w:r>
        <w:rPr>
          <w:rFonts w:hint="eastAsia" w:ascii="宋体" w:hAnsi="宋体"/>
          <w:b/>
          <w:bCs/>
          <w:sz w:val="28"/>
          <w:szCs w:val="28"/>
        </w:rPr>
        <w:t>附件六</w:t>
      </w:r>
    </w:p>
    <w:p>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pPr>
        <w:spacing w:line="300" w:lineRule="auto"/>
        <w:jc w:val="center"/>
        <w:rPr>
          <w:rFonts w:ascii="宋体" w:hAnsi="宋体"/>
          <w:b/>
          <w:color w:val="000000"/>
          <w:sz w:val="32"/>
          <w:szCs w:val="28"/>
        </w:rPr>
      </w:pPr>
    </w:p>
    <w:p>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402827"/>
    <w:multiLevelType w:val="multilevel"/>
    <w:tmpl w:val="4E402827"/>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decimal"/>
      <w:lvlText w:val="%2."/>
      <w:lvlJc w:val="left"/>
      <w:pPr>
        <w:tabs>
          <w:tab w:val="left" w:pos="900"/>
        </w:tabs>
        <w:ind w:left="900" w:hanging="480"/>
      </w:pPr>
      <w:rPr>
        <w:rFonts w:hint="eastAsia"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B73"/>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3CBD"/>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 w:val="5CD70067"/>
    <w:rsid w:val="6E376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DB67-E0DE-4982-86D1-4F321A9592A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21</Pages>
  <Words>4694</Words>
  <Characters>4903</Characters>
  <Lines>42</Lines>
  <Paragraphs>11</Paragraphs>
  <TotalTime>2</TotalTime>
  <ScaleCrop>false</ScaleCrop>
  <LinksUpToDate>false</LinksUpToDate>
  <CharactersWithSpaces>5429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2024-06-28T07:54:34Z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D6A718BAF8124596A45F08EE11B8A5B8_12</vt:lpwstr>
  </property>
</Properties>
</file>