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bookmarkStart w:id="1" w:name="_GoBack"/>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ascii="黑体" w:hAnsi="黑体" w:eastAsia="黑体"/>
          <w:sz w:val="32"/>
          <w:szCs w:val="32"/>
        </w:rPr>
      </w:pPr>
      <w:r>
        <w:rPr>
          <w:rFonts w:hint="eastAsia" w:ascii="黑体" w:hAnsi="黑体" w:eastAsia="黑体"/>
          <w:sz w:val="32"/>
          <w:szCs w:val="32"/>
        </w:rPr>
        <w:t>项目名称：医用耗材一批</w:t>
      </w:r>
    </w:p>
    <w:p w14:paraId="465E6CFF">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7</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8</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ZJYYHCZB-202400</w:t>
      </w:r>
      <w:r>
        <w:rPr>
          <w:rFonts w:hint="eastAsia" w:ascii="宋体" w:hAnsi="宋体"/>
          <w:color w:val="000000" w:themeColor="text1"/>
          <w:sz w:val="24"/>
          <w:u w:val="single"/>
          <w:lang w:val="en-US" w:eastAsia="zh-CN"/>
          <w14:textFill>
            <w14:solidFill>
              <w14:schemeClr w14:val="tx1"/>
            </w14:solidFill>
          </w14:textFill>
        </w:rPr>
        <w:t>7</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fldChar w:fldCharType="begin"/>
      </w:r>
      <w:r>
        <w:instrText xml:space="preserve"> LINK Excel.Sheet.12</w:instrText>
      </w:r>
      <w:r>
        <w:rPr>
          <w:rFonts w:hint="eastAsia"/>
        </w:rPr>
        <w:instrText xml:space="preserve"> F:\\采购中心\\耗材招标\\001采购谈判文件模板\\000常规耗材\\谈判产品目录-8.1.xlsx</w:instrText>
      </w:r>
      <w:r>
        <w:instrText xml:space="preserve"> Sheet1!R2C1:R5C3 \a \f 4 \h  \* MERGEFORMAT </w:instrText>
      </w:r>
      <w:r>
        <w:fldChar w:fldCharType="separate"/>
      </w:r>
      <w:r>
        <w:fldChar w:fldCharType="end"/>
      </w:r>
      <w:r>
        <w:rPr>
          <w:rFonts w:ascii="宋体" w:hAnsi="宋体"/>
          <w:color w:val="000000" w:themeColor="text1"/>
          <w:sz w:val="24"/>
          <w14:textFill>
            <w14:solidFill>
              <w14:schemeClr w14:val="tx1"/>
            </w14:solidFill>
          </w14:textFill>
        </w:rPr>
        <w:t xml:space="preserve"> </w:t>
      </w:r>
    </w:p>
    <w:tbl>
      <w:tblPr>
        <w:tblStyle w:val="10"/>
        <w:tblW w:w="8620" w:type="dxa"/>
        <w:tblInd w:w="0" w:type="dxa"/>
        <w:tblLayout w:type="autofit"/>
        <w:tblCellMar>
          <w:top w:w="0" w:type="dxa"/>
          <w:left w:w="108" w:type="dxa"/>
          <w:bottom w:w="0" w:type="dxa"/>
          <w:right w:w="108" w:type="dxa"/>
        </w:tblCellMar>
      </w:tblPr>
      <w:tblGrid>
        <w:gridCol w:w="700"/>
        <w:gridCol w:w="2785"/>
        <w:gridCol w:w="5135"/>
      </w:tblGrid>
      <w:tr w14:paraId="1890ED65">
        <w:tblPrEx>
          <w:tblCellMar>
            <w:top w:w="0" w:type="dxa"/>
            <w:left w:w="108" w:type="dxa"/>
            <w:bottom w:w="0" w:type="dxa"/>
            <w:right w:w="108" w:type="dxa"/>
          </w:tblCellMar>
        </w:tblPrEx>
        <w:trPr>
          <w:trHeight w:val="357"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785" w:type="dxa"/>
            <w:tcBorders>
              <w:top w:val="single" w:color="auto" w:sz="4" w:space="0"/>
              <w:left w:val="nil"/>
              <w:bottom w:val="single" w:color="auto" w:sz="4" w:space="0"/>
              <w:right w:val="single" w:color="auto" w:sz="4" w:space="0"/>
            </w:tcBorders>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135" w:type="dxa"/>
            <w:tcBorders>
              <w:top w:val="single" w:color="auto" w:sz="4" w:space="0"/>
              <w:left w:val="nil"/>
              <w:bottom w:val="single" w:color="auto" w:sz="4" w:space="0"/>
              <w:right w:val="single" w:color="auto" w:sz="4" w:space="0"/>
            </w:tcBorders>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087E61A">
        <w:tblPrEx>
          <w:tblCellMar>
            <w:top w:w="0" w:type="dxa"/>
            <w:left w:w="108" w:type="dxa"/>
            <w:bottom w:w="0" w:type="dxa"/>
            <w:right w:w="108" w:type="dxa"/>
          </w:tblCellMar>
        </w:tblPrEx>
        <w:trPr>
          <w:trHeight w:val="552"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406469E5">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1</w:t>
            </w:r>
          </w:p>
        </w:tc>
        <w:tc>
          <w:tcPr>
            <w:tcW w:w="2785" w:type="dxa"/>
            <w:tcBorders>
              <w:top w:val="nil"/>
              <w:left w:val="nil"/>
              <w:bottom w:val="single" w:color="auto" w:sz="4" w:space="0"/>
              <w:right w:val="single" w:color="auto" w:sz="4" w:space="0"/>
            </w:tcBorders>
            <w:shd w:val="clear" w:color="auto" w:fill="auto"/>
            <w:vAlign w:val="center"/>
          </w:tcPr>
          <w:p w14:paraId="30EC77C7">
            <w:pPr>
              <w:keepNext w:val="0"/>
              <w:keepLines w:val="0"/>
              <w:widowControl/>
              <w:suppressLineNumbers w:val="0"/>
              <w:jc w:val="left"/>
              <w:textAlignment w:val="bottom"/>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冠脉药物球囊扩张导管</w:t>
            </w:r>
          </w:p>
        </w:tc>
        <w:tc>
          <w:tcPr>
            <w:tcW w:w="5135" w:type="dxa"/>
            <w:tcBorders>
              <w:top w:val="nil"/>
              <w:left w:val="nil"/>
              <w:bottom w:val="single" w:color="auto" w:sz="4" w:space="0"/>
              <w:right w:val="single" w:color="auto" w:sz="4" w:space="0"/>
            </w:tcBorders>
            <w:shd w:val="clear" w:color="auto" w:fill="auto"/>
            <w:vAlign w:val="center"/>
          </w:tcPr>
          <w:p w14:paraId="24058DFB">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用于冠状动脉支架内再狭窄的治疗和原发冠状动脉血管病变治疗</w:t>
            </w:r>
          </w:p>
        </w:tc>
      </w:tr>
      <w:tr w14:paraId="6ACCFBAD">
        <w:tblPrEx>
          <w:tblCellMar>
            <w:top w:w="0" w:type="dxa"/>
            <w:left w:w="108" w:type="dxa"/>
            <w:bottom w:w="0" w:type="dxa"/>
            <w:right w:w="108" w:type="dxa"/>
          </w:tblCellMar>
        </w:tblPrEx>
        <w:trPr>
          <w:trHeight w:val="649"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544DF3F8">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2</w:t>
            </w:r>
          </w:p>
        </w:tc>
        <w:tc>
          <w:tcPr>
            <w:tcW w:w="2785" w:type="dxa"/>
            <w:tcBorders>
              <w:top w:val="nil"/>
              <w:left w:val="nil"/>
              <w:bottom w:val="single" w:color="auto" w:sz="4" w:space="0"/>
              <w:right w:val="single" w:color="auto" w:sz="4" w:space="0"/>
            </w:tcBorders>
            <w:shd w:val="clear" w:color="auto" w:fill="auto"/>
            <w:vAlign w:val="center"/>
          </w:tcPr>
          <w:p w14:paraId="5311336D">
            <w:pPr>
              <w:keepNext w:val="0"/>
              <w:keepLines w:val="0"/>
              <w:widowControl/>
              <w:suppressLineNumbers w:val="0"/>
              <w:jc w:val="left"/>
              <w:textAlignment w:val="bottom"/>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可解脱带纤维毛弹簧圈栓塞系统</w:t>
            </w:r>
          </w:p>
        </w:tc>
        <w:tc>
          <w:tcPr>
            <w:tcW w:w="5135" w:type="dxa"/>
            <w:tcBorders>
              <w:top w:val="nil"/>
              <w:left w:val="nil"/>
              <w:bottom w:val="single" w:color="auto" w:sz="4" w:space="0"/>
              <w:right w:val="single" w:color="auto" w:sz="4" w:space="0"/>
            </w:tcBorders>
            <w:shd w:val="clear" w:color="auto" w:fill="auto"/>
            <w:vAlign w:val="center"/>
          </w:tcPr>
          <w:p w14:paraId="01ED6092">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用于栓塞手术中阻塞或减缓外周血管系统中的血流流速</w:t>
            </w:r>
          </w:p>
        </w:tc>
      </w:tr>
      <w:tr w14:paraId="3FAB9F39">
        <w:tblPrEx>
          <w:tblCellMar>
            <w:top w:w="0" w:type="dxa"/>
            <w:left w:w="108" w:type="dxa"/>
            <w:bottom w:w="0" w:type="dxa"/>
            <w:right w:w="108" w:type="dxa"/>
          </w:tblCellMar>
        </w:tblPrEx>
        <w:trPr>
          <w:trHeight w:val="649"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2024701B">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3</w:t>
            </w:r>
          </w:p>
        </w:tc>
        <w:tc>
          <w:tcPr>
            <w:tcW w:w="2785" w:type="dxa"/>
            <w:tcBorders>
              <w:top w:val="nil"/>
              <w:left w:val="nil"/>
              <w:bottom w:val="single" w:color="auto" w:sz="4" w:space="0"/>
              <w:right w:val="single" w:color="auto" w:sz="4" w:space="0"/>
            </w:tcBorders>
            <w:shd w:val="clear" w:color="auto" w:fill="auto"/>
            <w:vAlign w:val="center"/>
          </w:tcPr>
          <w:p w14:paraId="31FA4624">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一次性使用膜式氧合器套包</w:t>
            </w:r>
          </w:p>
        </w:tc>
        <w:tc>
          <w:tcPr>
            <w:tcW w:w="5135" w:type="dxa"/>
            <w:tcBorders>
              <w:top w:val="nil"/>
              <w:left w:val="nil"/>
              <w:bottom w:val="single" w:color="auto" w:sz="4" w:space="0"/>
              <w:right w:val="single" w:color="auto" w:sz="4" w:space="0"/>
            </w:tcBorders>
            <w:shd w:val="clear" w:color="auto" w:fill="auto"/>
            <w:vAlign w:val="center"/>
          </w:tcPr>
          <w:p w14:paraId="3F3D394D">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与深圳汉诺的体外心肺支持设备（型号：LM-ECMO-1000）配套使用</w:t>
            </w:r>
          </w:p>
        </w:tc>
      </w:tr>
      <w:tr w14:paraId="122344E0">
        <w:tblPrEx>
          <w:tblCellMar>
            <w:top w:w="0" w:type="dxa"/>
            <w:left w:w="108" w:type="dxa"/>
            <w:bottom w:w="0" w:type="dxa"/>
            <w:right w:w="108" w:type="dxa"/>
          </w:tblCellMar>
        </w:tblPrEx>
        <w:trPr>
          <w:trHeight w:val="541"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67F02DB3">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4</w:t>
            </w:r>
          </w:p>
        </w:tc>
        <w:tc>
          <w:tcPr>
            <w:tcW w:w="2785" w:type="dxa"/>
            <w:tcBorders>
              <w:top w:val="nil"/>
              <w:left w:val="nil"/>
              <w:bottom w:val="single" w:color="auto" w:sz="4" w:space="0"/>
              <w:right w:val="single" w:color="auto" w:sz="4" w:space="0"/>
            </w:tcBorders>
            <w:shd w:val="clear" w:color="auto" w:fill="auto"/>
            <w:vAlign w:val="center"/>
          </w:tcPr>
          <w:p w14:paraId="0EB7F194">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经皮内镜引导下胃造口装置</w:t>
            </w:r>
          </w:p>
        </w:tc>
        <w:tc>
          <w:tcPr>
            <w:tcW w:w="5135" w:type="dxa"/>
            <w:tcBorders>
              <w:top w:val="nil"/>
              <w:left w:val="nil"/>
              <w:bottom w:val="single" w:color="auto" w:sz="4" w:space="0"/>
              <w:right w:val="single" w:color="auto" w:sz="4" w:space="0"/>
            </w:tcBorders>
            <w:shd w:val="clear" w:color="auto" w:fill="auto"/>
            <w:vAlign w:val="center"/>
          </w:tcPr>
          <w:p w14:paraId="453AD893">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用于胃造瘘患者建立喂养通道，用于肠内营养</w:t>
            </w:r>
          </w:p>
        </w:tc>
      </w:tr>
    </w:tbl>
    <w:p w14:paraId="3A2488D1">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8</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30</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0B5DE19E">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52FBE1D4">
      <w:pPr>
        <w:spacing w:line="360" w:lineRule="auto"/>
        <w:ind w:left="480"/>
        <w:rPr>
          <w:rFonts w:ascii="宋体" w:hAnsi="宋体"/>
          <w:sz w:val="24"/>
        </w:rPr>
      </w:pPr>
      <w:r>
        <w:rPr>
          <w:rFonts w:hint="eastAsia" w:ascii="宋体" w:hAnsi="宋体"/>
          <w:sz w:val="24"/>
        </w:rPr>
        <w:t>联系人：褚老师、胡老师</w:t>
      </w:r>
    </w:p>
    <w:p w14:paraId="031692B1">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4CBF9567">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20C37F7A">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569AAC52">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32170D6D">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2CC683C">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32CEFCB">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14C52AEE">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09D1B7CA">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04180D32">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bookmarkEnd w:id="1"/>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B575546"/>
    <w:rsid w:val="4D355752"/>
    <w:rsid w:val="5B2D4472"/>
    <w:rsid w:val="68700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4809</Words>
  <Characters>5142</Characters>
  <Lines>44</Lines>
  <Paragraphs>12</Paragraphs>
  <TotalTime>1</TotalTime>
  <ScaleCrop>false</ScaleCrop>
  <LinksUpToDate>false</LinksUpToDate>
  <CharactersWithSpaces>5674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2024-08-23T08:20:55Z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A7190C53FA79465B8845E80A377DC8C8_13</vt:lpwstr>
  </property>
</Properties>
</file>