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eastAsia" w:ascii="黑体" w:hAnsi="黑体" w:eastAsia="黑体"/>
          <w:sz w:val="32"/>
          <w:szCs w:val="32"/>
          <w:lang w:eastAsia="zh-CN"/>
        </w:rPr>
      </w:pPr>
      <w:r>
        <w:rPr>
          <w:rFonts w:hint="eastAsia" w:ascii="黑体" w:hAnsi="黑体" w:eastAsia="黑体"/>
          <w:sz w:val="32"/>
          <w:szCs w:val="32"/>
        </w:rPr>
        <w:t>项目名称：医用耗材一批</w:t>
      </w:r>
      <w:r>
        <w:rPr>
          <w:rFonts w:hint="eastAsia" w:ascii="黑体" w:hAnsi="黑体" w:eastAsia="黑体"/>
          <w:sz w:val="32"/>
          <w:szCs w:val="32"/>
          <w:lang w:eastAsia="zh-CN"/>
        </w:rPr>
        <w:t>（</w:t>
      </w:r>
      <w:r>
        <w:rPr>
          <w:rFonts w:hint="eastAsia" w:ascii="黑体" w:hAnsi="黑体" w:eastAsia="黑体"/>
          <w:sz w:val="32"/>
          <w:szCs w:val="32"/>
          <w:lang w:val="en-US" w:eastAsia="zh-CN"/>
        </w:rPr>
        <w:t>重新招标</w:t>
      </w:r>
      <w:r>
        <w:rPr>
          <w:rFonts w:hint="eastAsia" w:ascii="黑体" w:hAnsi="黑体" w:eastAsia="黑体"/>
          <w:sz w:val="32"/>
          <w:szCs w:val="32"/>
          <w:lang w:eastAsia="zh-CN"/>
        </w:rPr>
        <w:t>）</w:t>
      </w:r>
    </w:p>
    <w:p w14:paraId="465E6CFF">
      <w:pPr>
        <w:spacing w:before="312" w:beforeLines="100" w:line="240" w:lineRule="atLeast"/>
        <w:ind w:right="-108" w:firstLine="2240" w:firstLineChars="700"/>
        <w:jc w:val="left"/>
        <w:rPr>
          <w:rFonts w:hint="eastAsia"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400</w:t>
      </w:r>
      <w:r>
        <w:rPr>
          <w:rFonts w:hint="eastAsia" w:ascii="黑体" w:hAnsi="黑体" w:eastAsia="黑体"/>
          <w:sz w:val="32"/>
          <w:szCs w:val="32"/>
          <w:lang w:val="en-US" w:eastAsia="zh-CN"/>
        </w:rPr>
        <w:t>7</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9</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ZJYYHCZB-202400</w:t>
      </w:r>
      <w:r>
        <w:rPr>
          <w:rFonts w:hint="eastAsia" w:ascii="宋体" w:hAnsi="宋体"/>
          <w:color w:val="000000" w:themeColor="text1"/>
          <w:sz w:val="24"/>
          <w:u w:val="single"/>
          <w:lang w:val="en-US" w:eastAsia="zh-CN"/>
          <w14:textFill>
            <w14:solidFill>
              <w14:schemeClr w14:val="tx1"/>
            </w14:solidFill>
          </w14:textFill>
        </w:rPr>
        <w:t>7</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p>
    <w:tbl>
      <w:tblPr>
        <w:tblStyle w:val="10"/>
        <w:tblW w:w="8620" w:type="dxa"/>
        <w:tblInd w:w="0" w:type="dxa"/>
        <w:tblLayout w:type="autofit"/>
        <w:tblCellMar>
          <w:top w:w="0" w:type="dxa"/>
          <w:left w:w="108" w:type="dxa"/>
          <w:bottom w:w="0" w:type="dxa"/>
          <w:right w:w="108" w:type="dxa"/>
        </w:tblCellMar>
      </w:tblPr>
      <w:tblGrid>
        <w:gridCol w:w="700"/>
        <w:gridCol w:w="2785"/>
        <w:gridCol w:w="5135"/>
      </w:tblGrid>
      <w:tr w14:paraId="1890ED65">
        <w:tblPrEx>
          <w:tblCellMar>
            <w:top w:w="0" w:type="dxa"/>
            <w:left w:w="108" w:type="dxa"/>
            <w:bottom w:w="0" w:type="dxa"/>
            <w:right w:w="108" w:type="dxa"/>
          </w:tblCellMar>
        </w:tblPrEx>
        <w:trPr>
          <w:trHeight w:val="357" w:hRule="atLeast"/>
        </w:trPr>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785" w:type="dxa"/>
            <w:tcBorders>
              <w:top w:val="single" w:color="auto" w:sz="4" w:space="0"/>
              <w:left w:val="nil"/>
              <w:bottom w:val="single" w:color="auto" w:sz="4" w:space="0"/>
              <w:right w:val="single" w:color="auto" w:sz="4" w:space="0"/>
            </w:tcBorders>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135" w:type="dxa"/>
            <w:tcBorders>
              <w:top w:val="single" w:color="auto" w:sz="4" w:space="0"/>
              <w:left w:val="nil"/>
              <w:bottom w:val="single" w:color="auto" w:sz="4" w:space="0"/>
              <w:right w:val="single" w:color="auto" w:sz="4" w:space="0"/>
            </w:tcBorders>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0087E61A">
        <w:tblPrEx>
          <w:tblCellMar>
            <w:top w:w="0" w:type="dxa"/>
            <w:left w:w="108" w:type="dxa"/>
            <w:bottom w:w="0" w:type="dxa"/>
            <w:right w:w="108" w:type="dxa"/>
          </w:tblCellMar>
        </w:tblPrEx>
        <w:trPr>
          <w:trHeight w:val="552" w:hRule="atLeast"/>
        </w:trPr>
        <w:tc>
          <w:tcPr>
            <w:tcW w:w="700" w:type="dxa"/>
            <w:tcBorders>
              <w:top w:val="nil"/>
              <w:left w:val="single" w:color="auto" w:sz="4" w:space="0"/>
              <w:bottom w:val="single" w:color="auto" w:sz="4" w:space="0"/>
              <w:right w:val="single" w:color="auto" w:sz="4" w:space="0"/>
            </w:tcBorders>
            <w:shd w:val="clear" w:color="auto" w:fill="auto"/>
            <w:vAlign w:val="center"/>
          </w:tcPr>
          <w:p w14:paraId="406469E5">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1</w:t>
            </w:r>
          </w:p>
        </w:tc>
        <w:tc>
          <w:tcPr>
            <w:tcW w:w="2785" w:type="dxa"/>
            <w:tcBorders>
              <w:top w:val="nil"/>
              <w:left w:val="nil"/>
              <w:bottom w:val="single" w:color="auto" w:sz="4" w:space="0"/>
              <w:right w:val="single" w:color="auto" w:sz="4" w:space="0"/>
            </w:tcBorders>
            <w:shd w:val="clear" w:color="auto" w:fill="auto"/>
            <w:vAlign w:val="center"/>
          </w:tcPr>
          <w:p w14:paraId="30EC77C7">
            <w:pPr>
              <w:keepNext w:val="0"/>
              <w:keepLines w:val="0"/>
              <w:widowControl/>
              <w:suppressLineNumbers w:val="0"/>
              <w:jc w:val="left"/>
              <w:textAlignment w:val="bottom"/>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冠脉药物球囊扩张导管</w:t>
            </w:r>
          </w:p>
        </w:tc>
        <w:tc>
          <w:tcPr>
            <w:tcW w:w="5135" w:type="dxa"/>
            <w:tcBorders>
              <w:top w:val="nil"/>
              <w:left w:val="nil"/>
              <w:bottom w:val="single" w:color="auto" w:sz="4" w:space="0"/>
              <w:right w:val="single" w:color="auto" w:sz="4" w:space="0"/>
            </w:tcBorders>
            <w:shd w:val="clear" w:color="auto" w:fill="auto"/>
            <w:vAlign w:val="center"/>
          </w:tcPr>
          <w:p w14:paraId="24058DFB">
            <w:pPr>
              <w:keepNext w:val="0"/>
              <w:keepLines w:val="0"/>
              <w:widowControl/>
              <w:suppressLineNumbers w:val="0"/>
              <w:jc w:val="left"/>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用于冠状动脉支架内再狭窄的治疗和原发冠状动脉血管病变治疗</w:t>
            </w:r>
          </w:p>
        </w:tc>
      </w:tr>
      <w:tr w14:paraId="6ACCFBAD">
        <w:tblPrEx>
          <w:tblCellMar>
            <w:top w:w="0" w:type="dxa"/>
            <w:left w:w="108" w:type="dxa"/>
            <w:bottom w:w="0" w:type="dxa"/>
            <w:right w:w="108" w:type="dxa"/>
          </w:tblCellMar>
        </w:tblPrEx>
        <w:trPr>
          <w:trHeight w:val="649" w:hRule="atLeast"/>
        </w:trPr>
        <w:tc>
          <w:tcPr>
            <w:tcW w:w="700" w:type="dxa"/>
            <w:tcBorders>
              <w:top w:val="nil"/>
              <w:left w:val="single" w:color="auto" w:sz="4" w:space="0"/>
              <w:bottom w:val="single" w:color="auto" w:sz="4" w:space="0"/>
              <w:right w:val="single" w:color="auto" w:sz="4" w:space="0"/>
            </w:tcBorders>
            <w:shd w:val="clear" w:color="auto" w:fill="auto"/>
            <w:vAlign w:val="center"/>
          </w:tcPr>
          <w:p w14:paraId="544DF3F8">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2</w:t>
            </w:r>
          </w:p>
        </w:tc>
        <w:tc>
          <w:tcPr>
            <w:tcW w:w="2785" w:type="dxa"/>
            <w:tcBorders>
              <w:top w:val="nil"/>
              <w:left w:val="nil"/>
              <w:bottom w:val="single" w:color="auto" w:sz="4" w:space="0"/>
              <w:right w:val="single" w:color="auto" w:sz="4" w:space="0"/>
            </w:tcBorders>
            <w:shd w:val="clear" w:color="auto" w:fill="auto"/>
            <w:vAlign w:val="center"/>
          </w:tcPr>
          <w:p w14:paraId="5311336D">
            <w:pPr>
              <w:keepNext w:val="0"/>
              <w:keepLines w:val="0"/>
              <w:widowControl/>
              <w:suppressLineNumbers w:val="0"/>
              <w:jc w:val="left"/>
              <w:textAlignment w:val="bottom"/>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可解脱带纤维毛弹簧圈栓塞系统</w:t>
            </w:r>
          </w:p>
        </w:tc>
        <w:tc>
          <w:tcPr>
            <w:tcW w:w="5135" w:type="dxa"/>
            <w:tcBorders>
              <w:top w:val="nil"/>
              <w:left w:val="nil"/>
              <w:bottom w:val="single" w:color="auto" w:sz="4" w:space="0"/>
              <w:right w:val="single" w:color="auto" w:sz="4" w:space="0"/>
            </w:tcBorders>
            <w:shd w:val="clear" w:color="auto" w:fill="auto"/>
            <w:vAlign w:val="center"/>
          </w:tcPr>
          <w:p w14:paraId="01ED6092">
            <w:pPr>
              <w:keepNext w:val="0"/>
              <w:keepLines w:val="0"/>
              <w:widowControl/>
              <w:suppressLineNumbers w:val="0"/>
              <w:jc w:val="left"/>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用于栓塞手术中阻塞或减缓外周血管系统中的血流流速</w:t>
            </w:r>
          </w:p>
        </w:tc>
      </w:tr>
      <w:tr w14:paraId="3FAB9F39">
        <w:tblPrEx>
          <w:tblCellMar>
            <w:top w:w="0" w:type="dxa"/>
            <w:left w:w="108" w:type="dxa"/>
            <w:bottom w:w="0" w:type="dxa"/>
            <w:right w:w="108" w:type="dxa"/>
          </w:tblCellMar>
        </w:tblPrEx>
        <w:trPr>
          <w:trHeight w:val="649" w:hRule="atLeast"/>
        </w:trPr>
        <w:tc>
          <w:tcPr>
            <w:tcW w:w="700" w:type="dxa"/>
            <w:tcBorders>
              <w:top w:val="nil"/>
              <w:left w:val="single" w:color="auto" w:sz="4" w:space="0"/>
              <w:bottom w:val="single" w:color="auto" w:sz="4" w:space="0"/>
              <w:right w:val="single" w:color="auto" w:sz="4" w:space="0"/>
            </w:tcBorders>
            <w:shd w:val="clear" w:color="auto" w:fill="auto"/>
            <w:vAlign w:val="center"/>
          </w:tcPr>
          <w:p w14:paraId="2024701B">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3</w:t>
            </w:r>
          </w:p>
        </w:tc>
        <w:tc>
          <w:tcPr>
            <w:tcW w:w="2785" w:type="dxa"/>
            <w:tcBorders>
              <w:top w:val="nil"/>
              <w:left w:val="nil"/>
              <w:bottom w:val="single" w:color="auto" w:sz="4" w:space="0"/>
              <w:right w:val="single" w:color="auto" w:sz="4" w:space="0"/>
            </w:tcBorders>
            <w:shd w:val="clear" w:color="auto" w:fill="auto"/>
            <w:vAlign w:val="center"/>
          </w:tcPr>
          <w:p w14:paraId="31FA4624">
            <w:pPr>
              <w:keepNext w:val="0"/>
              <w:keepLines w:val="0"/>
              <w:widowControl/>
              <w:suppressLineNumbers w:val="0"/>
              <w:jc w:val="left"/>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一次性使用膜式氧合器套包</w:t>
            </w:r>
          </w:p>
        </w:tc>
        <w:tc>
          <w:tcPr>
            <w:tcW w:w="5135" w:type="dxa"/>
            <w:tcBorders>
              <w:top w:val="nil"/>
              <w:left w:val="nil"/>
              <w:bottom w:val="single" w:color="auto" w:sz="4" w:space="0"/>
              <w:right w:val="single" w:color="auto" w:sz="4" w:space="0"/>
            </w:tcBorders>
            <w:shd w:val="clear" w:color="auto" w:fill="auto"/>
            <w:vAlign w:val="center"/>
          </w:tcPr>
          <w:p w14:paraId="3F3D394D">
            <w:pPr>
              <w:keepNext w:val="0"/>
              <w:keepLines w:val="0"/>
              <w:widowControl/>
              <w:suppressLineNumbers w:val="0"/>
              <w:jc w:val="left"/>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与深圳汉诺的体外心肺支持设备（型号：LM-ECMO-1000）配套使用</w:t>
            </w:r>
          </w:p>
        </w:tc>
      </w:tr>
    </w:tbl>
    <w:p w14:paraId="3A2488D1">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9</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9</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bookmarkStart w:id="1" w:name="_GoBack"/>
      <w:bookmarkEnd w:id="1"/>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0B5DE19E">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52FBE1D4">
      <w:pPr>
        <w:spacing w:line="360" w:lineRule="auto"/>
        <w:ind w:left="480"/>
        <w:rPr>
          <w:rFonts w:ascii="宋体" w:hAnsi="宋体"/>
          <w:sz w:val="24"/>
        </w:rPr>
      </w:pPr>
      <w:r>
        <w:rPr>
          <w:rFonts w:hint="eastAsia" w:ascii="宋体" w:hAnsi="宋体"/>
          <w:sz w:val="24"/>
        </w:rPr>
        <w:t>联系人：褚老师、胡老师</w:t>
      </w:r>
    </w:p>
    <w:p w14:paraId="031692B1">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4CBF9567">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20C37F7A">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569AAC52">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32170D6D">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2CC683C">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32CEFCB">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14C52AEE">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09D1B7CA">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04180D32">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71D284B"/>
    <w:rsid w:val="2C8F15FC"/>
    <w:rsid w:val="31153F26"/>
    <w:rsid w:val="3B575546"/>
    <w:rsid w:val="3FDA4A48"/>
    <w:rsid w:val="4D355752"/>
    <w:rsid w:val="5B2D4472"/>
    <w:rsid w:val="68700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4739</Words>
  <Characters>5005</Characters>
  <Lines>44</Lines>
  <Paragraphs>12</Paragraphs>
  <TotalTime>2</TotalTime>
  <ScaleCrop>false</ScaleCrop>
  <LinksUpToDate>false</LinksUpToDate>
  <CharactersWithSpaces>5524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2024-09-02T02:21:09Z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07A5FC482E23410A94999645172E2ABF_13</vt:lpwstr>
  </property>
</Properties>
</file>