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5003</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01</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5003</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1FCB6B3">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2644"/>
        <w:gridCol w:w="4641"/>
      </w:tblGrid>
      <w:tr w14:paraId="3DC2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92" w:type="dxa"/>
            <w:vAlign w:val="center"/>
          </w:tcPr>
          <w:p w14:paraId="782521DA">
            <w:pPr>
              <w:spacing w:line="360" w:lineRule="auto"/>
              <w:jc w:val="center"/>
              <w:rPr>
                <w:rFonts w:ascii="宋体" w:hAnsi="宋体"/>
                <w:color w:val="000000" w:themeColor="text1"/>
                <w:kern w:val="0"/>
                <w:sz w:val="24"/>
                <w:szCs w:val="20"/>
              </w:rPr>
            </w:pPr>
            <w:r>
              <w:rPr>
                <w:rFonts w:hint="eastAsia" w:ascii="宋体" w:hAnsi="宋体"/>
                <w:color w:val="000000" w:themeColor="text1"/>
                <w:kern w:val="0"/>
                <w:sz w:val="24"/>
                <w:szCs w:val="20"/>
              </w:rPr>
              <w:t>标项号</w:t>
            </w:r>
          </w:p>
        </w:tc>
        <w:tc>
          <w:tcPr>
            <w:tcW w:w="2644" w:type="dxa"/>
            <w:vAlign w:val="center"/>
          </w:tcPr>
          <w:p w14:paraId="1434A370">
            <w:pPr>
              <w:spacing w:line="360" w:lineRule="auto"/>
              <w:rPr>
                <w:rFonts w:hint="eastAsia" w:ascii="宋体" w:hAnsi="宋体" w:eastAsia="宋体"/>
                <w:color w:val="000000" w:themeColor="text1"/>
                <w:kern w:val="0"/>
                <w:sz w:val="24"/>
                <w:szCs w:val="20"/>
                <w:lang w:eastAsia="zh-CN"/>
              </w:rPr>
            </w:pPr>
            <w:r>
              <w:rPr>
                <w:rFonts w:ascii="宋体" w:hAnsi="宋体"/>
                <w:color w:val="000000" w:themeColor="text1"/>
                <w:kern w:val="0"/>
                <w:sz w:val="24"/>
                <w:szCs w:val="20"/>
              </w:rPr>
              <w:t>产品</w:t>
            </w:r>
            <w:r>
              <w:rPr>
                <w:rFonts w:hint="eastAsia" w:ascii="宋体" w:hAnsi="宋体"/>
                <w:color w:val="000000" w:themeColor="text1"/>
                <w:kern w:val="0"/>
                <w:sz w:val="24"/>
                <w:szCs w:val="20"/>
                <w:lang w:val="en-US" w:eastAsia="zh-CN"/>
              </w:rPr>
              <w:t>类别</w:t>
            </w:r>
          </w:p>
        </w:tc>
        <w:tc>
          <w:tcPr>
            <w:tcW w:w="4641" w:type="dxa"/>
            <w:vAlign w:val="center"/>
          </w:tcPr>
          <w:p w14:paraId="240092D5">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r>
      <w:tr w14:paraId="3553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92" w:type="dxa"/>
            <w:vAlign w:val="center"/>
          </w:tcPr>
          <w:p w14:paraId="0DBA3D4A">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1</w:t>
            </w:r>
          </w:p>
        </w:tc>
        <w:tc>
          <w:tcPr>
            <w:tcW w:w="2644" w:type="dxa"/>
            <w:vAlign w:val="center"/>
          </w:tcPr>
          <w:p w14:paraId="13E95DD0">
            <w:pPr>
              <w:keepNext w:val="0"/>
              <w:keepLines w:val="0"/>
              <w:widowControl/>
              <w:suppressLineNumbers w:val="0"/>
              <w:jc w:val="left"/>
              <w:textAlignment w:val="center"/>
              <w:rPr>
                <w:rFonts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医用面膜</w:t>
            </w:r>
          </w:p>
        </w:tc>
        <w:tc>
          <w:tcPr>
            <w:tcW w:w="4641" w:type="dxa"/>
            <w:vAlign w:val="center"/>
          </w:tcPr>
          <w:p w14:paraId="337619BD">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用于皮肤美容术后修复的医用补水镇定</w:t>
            </w:r>
          </w:p>
        </w:tc>
      </w:tr>
      <w:tr w14:paraId="58D8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92" w:type="dxa"/>
            <w:vAlign w:val="center"/>
          </w:tcPr>
          <w:p w14:paraId="65A60B7F">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2</w:t>
            </w:r>
          </w:p>
        </w:tc>
        <w:tc>
          <w:tcPr>
            <w:tcW w:w="2644" w:type="dxa"/>
            <w:vAlign w:val="center"/>
          </w:tcPr>
          <w:p w14:paraId="20728B0E">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注射填充类玻尿酸</w:t>
            </w:r>
          </w:p>
        </w:tc>
        <w:tc>
          <w:tcPr>
            <w:tcW w:w="4641" w:type="dxa"/>
            <w:vAlign w:val="center"/>
          </w:tcPr>
          <w:p w14:paraId="31883B7B">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用于注射到真皮组织的中层到深层部位，提供可填充不同部位的各种规格型号</w:t>
            </w:r>
          </w:p>
        </w:tc>
      </w:tr>
      <w:tr w14:paraId="0C10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14:paraId="40F609F5">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3</w:t>
            </w:r>
          </w:p>
        </w:tc>
        <w:tc>
          <w:tcPr>
            <w:tcW w:w="2644" w:type="dxa"/>
            <w:vAlign w:val="center"/>
          </w:tcPr>
          <w:p w14:paraId="3E8E4D04">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水光注射类玻尿酸</w:t>
            </w:r>
          </w:p>
        </w:tc>
        <w:tc>
          <w:tcPr>
            <w:tcW w:w="4641" w:type="dxa"/>
            <w:vAlign w:val="center"/>
          </w:tcPr>
          <w:p w14:paraId="38DA4094">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用于补水，提供各种规格型号</w:t>
            </w:r>
          </w:p>
        </w:tc>
      </w:tr>
      <w:tr w14:paraId="6CE1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14:paraId="22F92B79">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4</w:t>
            </w:r>
          </w:p>
        </w:tc>
        <w:tc>
          <w:tcPr>
            <w:tcW w:w="2644" w:type="dxa"/>
            <w:vAlign w:val="center"/>
          </w:tcPr>
          <w:p w14:paraId="4F087DAE">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射频微针电极</w:t>
            </w:r>
          </w:p>
        </w:tc>
        <w:tc>
          <w:tcPr>
            <w:tcW w:w="4641" w:type="dxa"/>
            <w:vAlign w:val="center"/>
          </w:tcPr>
          <w:p w14:paraId="1CD12737">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与射频微针治疗仪(品牌：Jeisys，型号:INTRAcel)配合使用，用于治疗皮肤萎缩性瘢痕。</w:t>
            </w:r>
          </w:p>
        </w:tc>
      </w:tr>
      <w:tr w14:paraId="772C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14:paraId="7F59A793">
            <w:pPr>
              <w:spacing w:line="360" w:lineRule="auto"/>
              <w:jc w:val="center"/>
              <w:rPr>
                <w:rFonts w:hint="eastAsia" w:ascii="宋体" w:hAnsi="宋体" w:eastAsia="宋体"/>
                <w:color w:val="000000" w:themeColor="text1"/>
                <w:kern w:val="0"/>
                <w:sz w:val="24"/>
                <w:szCs w:val="24"/>
                <w:lang w:val="en-US" w:eastAsia="zh-CN"/>
              </w:rPr>
            </w:pPr>
            <w:r>
              <w:rPr>
                <w:rFonts w:hint="eastAsia" w:ascii="宋体" w:hAnsi="宋体"/>
                <w:color w:val="000000" w:themeColor="text1"/>
                <w:kern w:val="0"/>
                <w:sz w:val="24"/>
                <w:szCs w:val="24"/>
                <w:lang w:val="en-US" w:eastAsia="zh-CN"/>
              </w:rPr>
              <w:t>5</w:t>
            </w:r>
          </w:p>
        </w:tc>
        <w:tc>
          <w:tcPr>
            <w:tcW w:w="2644" w:type="dxa"/>
            <w:vAlign w:val="center"/>
          </w:tcPr>
          <w:p w14:paraId="63DED552">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一氧化氮测定传感器</w:t>
            </w:r>
          </w:p>
        </w:tc>
        <w:tc>
          <w:tcPr>
            <w:tcW w:w="4641" w:type="dxa"/>
            <w:vAlign w:val="center"/>
          </w:tcPr>
          <w:p w14:paraId="72A906AC">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用于检测人体呼出气体中的一氧化氮浓度，提供配套设备租赁方案</w:t>
            </w:r>
          </w:p>
        </w:tc>
      </w:tr>
      <w:tr w14:paraId="39E1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14:paraId="75A2D08D">
            <w:pPr>
              <w:spacing w:line="360" w:lineRule="auto"/>
              <w:jc w:val="center"/>
              <w:rPr>
                <w:rFonts w:hint="eastAsia" w:ascii="宋体" w:hAnsi="宋体" w:eastAsia="宋体"/>
                <w:color w:val="000000" w:themeColor="text1"/>
                <w:kern w:val="0"/>
                <w:sz w:val="24"/>
                <w:szCs w:val="24"/>
                <w:lang w:val="en-US" w:eastAsia="zh-CN"/>
              </w:rPr>
            </w:pPr>
            <w:r>
              <w:rPr>
                <w:rFonts w:hint="eastAsia" w:ascii="宋体" w:hAnsi="宋体"/>
                <w:color w:val="000000" w:themeColor="text1"/>
                <w:kern w:val="0"/>
                <w:sz w:val="24"/>
                <w:szCs w:val="24"/>
                <w:lang w:val="en-US" w:eastAsia="zh-CN"/>
              </w:rPr>
              <w:t>6</w:t>
            </w:r>
          </w:p>
        </w:tc>
        <w:tc>
          <w:tcPr>
            <w:tcW w:w="2644" w:type="dxa"/>
            <w:vAlign w:val="center"/>
          </w:tcPr>
          <w:p w14:paraId="66604E5C">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肺功能仪咬嘴</w:t>
            </w:r>
          </w:p>
        </w:tc>
        <w:tc>
          <w:tcPr>
            <w:tcW w:w="4641" w:type="dxa"/>
            <w:vAlign w:val="center"/>
          </w:tcPr>
          <w:p w14:paraId="296883BA">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与肺功能仪连接，用于过滤吹气时的唾液，能有效防止患者间交叉感染。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须适配以下设备型号：德国耶格 MasterScreen（接口内径25毫米）；科时迈 Quark（接口内径31毫米）。</w:t>
            </w:r>
          </w:p>
        </w:tc>
      </w:tr>
    </w:tbl>
    <w:p w14:paraId="3939970B">
      <w:pPr>
        <w:spacing w:line="360" w:lineRule="auto"/>
        <w:ind w:left="480"/>
        <w:rPr>
          <w:rFonts w:ascii="宋体" w:hAnsi="宋体"/>
          <w:color w:val="000000" w:themeColor="text1"/>
          <w:sz w:val="24"/>
        </w:rPr>
      </w:pPr>
      <w:r>
        <w:rPr>
          <w:rFonts w:ascii="宋体" w:hAnsi="宋体"/>
          <w:color w:val="000000" w:themeColor="text1"/>
          <w:sz w:val="24"/>
        </w:rPr>
        <w:t xml:space="preserve"> </w:t>
      </w: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5</w:t>
      </w:r>
      <w:r>
        <w:rPr>
          <w:rFonts w:hint="eastAsia" w:ascii="宋体" w:hAnsi="宋体"/>
          <w:bCs/>
          <w:color w:val="000000" w:themeColor="text1"/>
          <w:sz w:val="24"/>
        </w:rPr>
        <w:t>年</w:t>
      </w:r>
      <w:r>
        <w:rPr>
          <w:rFonts w:hint="eastAsia" w:ascii="宋体" w:hAnsi="宋体"/>
          <w:bCs/>
          <w:color w:val="000000" w:themeColor="text1"/>
          <w:sz w:val="24"/>
          <w:lang w:val="en-US" w:eastAsia="zh-CN"/>
        </w:rPr>
        <w:t>1</w:t>
      </w:r>
      <w:r>
        <w:rPr>
          <w:rFonts w:hint="eastAsia" w:ascii="宋体" w:hAnsi="宋体"/>
          <w:bCs/>
          <w:color w:val="000000" w:themeColor="text1"/>
          <w:sz w:val="24"/>
        </w:rPr>
        <w:t>月</w:t>
      </w:r>
      <w:r>
        <w:rPr>
          <w:rFonts w:hint="eastAsia" w:ascii="宋体" w:hAnsi="宋体"/>
          <w:bCs/>
          <w:color w:val="000000" w:themeColor="text1"/>
          <w:sz w:val="24"/>
          <w:lang w:val="en-US" w:eastAsia="zh-CN"/>
        </w:rPr>
        <w:t>22</w:t>
      </w:r>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369302F7">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5E2E2ACE">
      <w:pPr>
        <w:spacing w:line="360" w:lineRule="auto"/>
        <w:ind w:left="480"/>
        <w:rPr>
          <w:rFonts w:ascii="宋体" w:hAnsi="宋体"/>
          <w:sz w:val="24"/>
        </w:rPr>
      </w:pPr>
      <w:r>
        <w:rPr>
          <w:rFonts w:hint="eastAsia" w:ascii="宋体" w:hAnsi="宋体"/>
          <w:sz w:val="24"/>
        </w:rPr>
        <w:t>联系人：褚老师、胡老师</w:t>
      </w:r>
    </w:p>
    <w:p w14:paraId="7452CCEE">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4B209698">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D3E88B5">
            <w:pPr>
              <w:keepNext w:val="0"/>
              <w:keepLines w:val="0"/>
              <w:widowControl/>
              <w:suppressLineNumbers w:val="0"/>
              <w:jc w:val="left"/>
              <w:textAlignment w:val="center"/>
              <w:rPr>
                <w:rFonts w:hint="default" w:ascii="宋体" w:hAnsi="宋体"/>
                <w:sz w:val="24"/>
                <w:vertAlign w:val="baseline"/>
                <w:lang w:val="en-US"/>
              </w:rPr>
            </w:pPr>
            <w:r>
              <w:rPr>
                <w:rFonts w:hint="eastAsia" w:ascii="宋体" w:hAnsi="宋体" w:cs="宋体"/>
                <w:i w:val="0"/>
                <w:iCs w:val="0"/>
                <w:color w:val="000000"/>
                <w:kern w:val="0"/>
                <w:sz w:val="24"/>
                <w:szCs w:val="24"/>
                <w:u w:val="none"/>
                <w:lang w:val="en-US" w:eastAsia="zh-CN" w:bidi="ar"/>
              </w:rPr>
              <w:t>肺功能仪咬嘴</w:t>
            </w:r>
          </w:p>
        </w:tc>
        <w:tc>
          <w:tcPr>
            <w:tcW w:w="4261" w:type="dxa"/>
            <w:vAlign w:val="center"/>
          </w:tcPr>
          <w:p w14:paraId="50413BA2">
            <w:pPr>
              <w:keepNext w:val="0"/>
              <w:keepLines w:val="0"/>
              <w:widowControl/>
              <w:suppressLineNumbers w:val="0"/>
              <w:jc w:val="left"/>
              <w:textAlignment w:val="center"/>
              <w:rPr>
                <w:rFonts w:hint="default" w:ascii="宋体" w:hAnsi="宋体"/>
                <w:sz w:val="24"/>
                <w:vertAlign w:val="baseline"/>
                <w:lang w:val="en-US"/>
              </w:rPr>
            </w:pPr>
            <w:r>
              <w:rPr>
                <w:rFonts w:hint="eastAsia" w:ascii="宋体" w:hAnsi="宋体" w:cs="宋体"/>
                <w:i w:val="0"/>
                <w:iCs w:val="0"/>
                <w:color w:val="000000"/>
                <w:kern w:val="0"/>
                <w:sz w:val="24"/>
                <w:szCs w:val="24"/>
                <w:u w:val="none"/>
                <w:lang w:val="en-US" w:eastAsia="zh-CN" w:bidi="ar"/>
              </w:rPr>
              <w:t>两种尺寸各</w:t>
            </w:r>
            <w:r>
              <w:rPr>
                <w:rFonts w:hint="eastAsia" w:ascii="宋体" w:hAnsi="宋体" w:eastAsia="宋体" w:cs="宋体"/>
                <w:i w:val="0"/>
                <w:iCs w:val="0"/>
                <w:color w:val="000000"/>
                <w:kern w:val="0"/>
                <w:sz w:val="24"/>
                <w:szCs w:val="24"/>
                <w:u w:val="none"/>
                <w:lang w:val="en-US" w:eastAsia="zh-CN" w:bidi="ar"/>
              </w:rPr>
              <w:t>5</w:t>
            </w:r>
            <w:r>
              <w:rPr>
                <w:rFonts w:hint="eastAsia" w:ascii="宋体" w:hAnsi="宋体" w:cs="宋体"/>
                <w:i w:val="0"/>
                <w:iCs w:val="0"/>
                <w:color w:val="000000"/>
                <w:kern w:val="0"/>
                <w:sz w:val="24"/>
                <w:szCs w:val="24"/>
                <w:u w:val="none"/>
                <w:lang w:val="en-US" w:eastAsia="zh-CN" w:bidi="ar"/>
              </w:rPr>
              <w:t>个</w:t>
            </w:r>
          </w:p>
        </w:tc>
      </w:tr>
    </w:tbl>
    <w:p w14:paraId="2EC2795F">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2144BD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601BCE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ascii="宋体" w:hAnsi="宋体"/>
          <w:sz w:val="24"/>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年1月</w:t>
      </w:r>
      <w:r>
        <w:rPr>
          <w:rFonts w:hint="eastAsia" w:cs="Times New Roman"/>
          <w:kern w:val="0"/>
          <w:sz w:val="24"/>
          <w:szCs w:val="24"/>
          <w:lang w:val="en-US" w:eastAsia="zh-CN" w:bidi="ar-SA"/>
        </w:rPr>
        <w:t>22</w:t>
      </w:r>
      <w:r>
        <w:rPr>
          <w:rFonts w:hint="eastAsia" w:ascii="Calibri" w:hAnsi="Calibri" w:eastAsia="宋体" w:cs="Times New Roman"/>
          <w:kern w:val="0"/>
          <w:sz w:val="24"/>
          <w:szCs w:val="24"/>
          <w:lang w:val="en-US" w:eastAsia="zh-CN" w:bidi="ar-SA"/>
        </w:rPr>
        <w:t>日17:00前</w:t>
      </w:r>
    </w:p>
    <w:p w14:paraId="27009A42">
      <w:pPr>
        <w:spacing w:line="360" w:lineRule="auto"/>
        <w:ind w:left="480"/>
        <w:rPr>
          <w:rFonts w:ascii="宋体" w:hAnsi="宋体"/>
          <w:sz w:val="24"/>
        </w:rPr>
      </w:pP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w:t>
      </w:r>
      <w:bookmarkStart w:id="1" w:name="_GoBack"/>
      <w:bookmarkEnd w:id="1"/>
      <w:r>
        <w:rPr>
          <w:rFonts w:hint="eastAsia" w:ascii="Times New Roman" w:hAnsi="Times New Roman"/>
        </w:rPr>
        <w:t>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2551282A"/>
    <w:rsid w:val="43ED4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1043</Words>
  <Characters>1151</Characters>
  <Lines>45</Lines>
  <Paragraphs>12</Paragraphs>
  <TotalTime>5</TotalTime>
  <ScaleCrop>false</ScaleCrop>
  <LinksUpToDate>false</LinksUpToDate>
  <CharactersWithSpaces>1159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2025-01-15T06:43:46Z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9A41ACD27CD34452A705658437CF71C6_13</vt:lpwstr>
  </property>
  <property fmtid="{D5CDD505-2E9C-101B-9397-08002B2CF9AE}" pid="4" name="KSOTemplateDocerSaveRecord">
    <vt:lpwstr>eyJoZGlkIjoiNDZjNDRmZDdkNjQ5NTIzODE1NGU3Y2QyODY2YWU5MTMiLCJ1c2VySWQiOiIxMjUyMjMxNzQwIn0=</vt:lpwstr>
  </property>
</Properties>
</file>