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体外诊断试剂及医用耗材一批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24</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12</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w:t>
      </w:r>
      <w:r>
        <w:rPr>
          <w:rFonts w:ascii="宋体" w:hAnsi="宋体"/>
          <w:color w:val="000000" w:themeColor="text1"/>
          <w:sz w:val="24"/>
          <w:u w:val="single"/>
          <w:lang w:val="zh-CN"/>
          <w14:textFill>
            <w14:solidFill>
              <w14:schemeClr w14:val="tx1"/>
            </w14:solidFill>
          </w14:textFill>
        </w:rPr>
        <w:t>0</w:t>
      </w:r>
      <w:r>
        <w:rPr>
          <w:rFonts w:hint="eastAsia" w:ascii="宋体" w:hAnsi="宋体"/>
          <w:color w:val="000000" w:themeColor="text1"/>
          <w:sz w:val="24"/>
          <w:u w:val="single"/>
          <w:lang w:val="en-US" w:eastAsia="zh-CN"/>
          <w14:textFill>
            <w14:solidFill>
              <w14:schemeClr w14:val="tx1"/>
            </w14:solidFill>
          </w14:textFill>
        </w:rPr>
        <w:t>24</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1</w:t>
            </w:r>
          </w:p>
        </w:tc>
        <w:tc>
          <w:tcPr>
            <w:tcW w:w="2625" w:type="dxa"/>
            <w:shd w:val="clear" w:color="auto" w:fill="auto"/>
            <w:vAlign w:val="bottom"/>
          </w:tcPr>
          <w:p w14:paraId="38E1168A">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呼吸道合胞病毒/肺炎支原体/腺病毒核酸检测试剂盒</w:t>
            </w:r>
          </w:p>
        </w:tc>
        <w:tc>
          <w:tcPr>
            <w:tcW w:w="5640" w:type="dxa"/>
            <w:shd w:val="clear" w:color="auto" w:fill="auto"/>
            <w:vAlign w:val="bottom"/>
          </w:tcPr>
          <w:p w14:paraId="0DEFA562">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用于体外定性检测人口咽拭子样本中的呼吸道合胞病毒、肺炎支原体、腺病毒核酸。</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2</w:t>
            </w:r>
          </w:p>
        </w:tc>
        <w:tc>
          <w:tcPr>
            <w:tcW w:w="2625" w:type="dxa"/>
            <w:shd w:val="clear" w:color="auto" w:fill="auto"/>
            <w:vAlign w:val="bottom"/>
          </w:tcPr>
          <w:p w14:paraId="21269D29">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血流导向密网支架</w:t>
            </w:r>
          </w:p>
        </w:tc>
        <w:tc>
          <w:tcPr>
            <w:tcW w:w="5640" w:type="dxa"/>
            <w:shd w:val="clear" w:color="auto" w:fill="auto"/>
            <w:vAlign w:val="bottom"/>
          </w:tcPr>
          <w:p w14:paraId="01247761">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用于颅内复杂动脉瘤的介入治疗</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3</w:t>
            </w:r>
          </w:p>
        </w:tc>
        <w:tc>
          <w:tcPr>
            <w:tcW w:w="2625" w:type="dxa"/>
            <w:shd w:val="clear" w:color="auto" w:fill="auto"/>
            <w:vAlign w:val="bottom"/>
          </w:tcPr>
          <w:p w14:paraId="6C6D24B7">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神经介入导丝</w:t>
            </w:r>
          </w:p>
        </w:tc>
        <w:tc>
          <w:tcPr>
            <w:tcW w:w="5640" w:type="dxa"/>
            <w:shd w:val="clear" w:color="auto" w:fill="auto"/>
            <w:vAlign w:val="bottom"/>
          </w:tcPr>
          <w:p w14:paraId="31C0E131">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神经介入治疗材料，0.010in≤直径≤0.014in</w:t>
            </w:r>
          </w:p>
        </w:tc>
      </w:tr>
    </w:tbl>
    <w:p w14:paraId="7A5AC16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bookmarkStart w:id="1" w:name="_GoBack"/>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12</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18</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体外诊断试剂及耗材</w:t>
      </w:r>
      <w:r>
        <w:rPr>
          <w:rFonts w:hint="eastAsia"/>
          <w:sz w:val="24"/>
          <w:szCs w:val="24"/>
        </w:rPr>
        <w:t>报价明细表》电子版（非扫描版）发到邮箱zjyyhczb_cgzx@163.com，邮件标题为“报名项目+公司全称”。</w:t>
      </w:r>
      <w:r>
        <w:rPr>
          <w:rFonts w:hint="eastAsia"/>
          <w:color w:val="FF0000"/>
          <w:sz w:val="24"/>
          <w:szCs w:val="24"/>
        </w:rPr>
        <w:t>投标供应商发送邮件并提交响应文件才算报名成功。</w:t>
      </w:r>
    </w:p>
    <w:bookmarkEnd w:id="1"/>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1A4734BC"/>
    <w:rsid w:val="2C3471C8"/>
    <w:rsid w:val="2C8F15FC"/>
    <w:rsid w:val="32F028E2"/>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310</Words>
  <Characters>344</Characters>
  <Lines>44</Lines>
  <Paragraphs>12</Paragraphs>
  <TotalTime>0</TotalTime>
  <ScaleCrop>false</ScaleCrop>
  <LinksUpToDate>false</LinksUpToDate>
  <CharactersWithSpaces>347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2025-12-11T07:37:58Z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