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bookmarkStart w:id="1" w:name="_GoBack"/>
      <w:bookmarkEnd w:id="1"/>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体外诊断试剂一批（重新招标）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w:t>
      </w:r>
      <w:r>
        <w:rPr>
          <w:rFonts w:ascii="黑体" w:hAnsi="黑体" w:eastAsia="黑体"/>
          <w:sz w:val="32"/>
          <w:szCs w:val="32"/>
        </w:rPr>
        <w:t>0</w:t>
      </w:r>
      <w:r>
        <w:rPr>
          <w:rFonts w:hint="eastAsia" w:ascii="黑体" w:hAnsi="黑体" w:eastAsia="黑体"/>
          <w:sz w:val="32"/>
          <w:szCs w:val="32"/>
          <w:lang w:val="en-US" w:eastAsia="zh-CN"/>
        </w:rPr>
        <w:t>05</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3</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w:t>
      </w:r>
      <w:r>
        <w:rPr>
          <w:rFonts w:ascii="宋体" w:hAnsi="宋体"/>
          <w:color w:val="000000" w:themeColor="text1"/>
          <w:sz w:val="24"/>
          <w:u w:val="single"/>
          <w:lang w:val="zh-CN"/>
          <w14:textFill>
            <w14:solidFill>
              <w14:schemeClr w14:val="tx1"/>
            </w14:solidFill>
          </w14:textFill>
        </w:rPr>
        <w:t>0</w:t>
      </w:r>
      <w:r>
        <w:rPr>
          <w:rFonts w:hint="eastAsia" w:ascii="宋体" w:hAnsi="宋体"/>
          <w:color w:val="000000" w:themeColor="text1"/>
          <w:sz w:val="24"/>
          <w:u w:val="single"/>
          <w:lang w:val="en-US" w:eastAsia="zh-CN"/>
          <w14:textFill>
            <w14:solidFill>
              <w14:schemeClr w14:val="tx1"/>
            </w14:solidFill>
          </w14:textFill>
        </w:rPr>
        <w:t>05</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widowControl/>
              <w:jc w:val="center"/>
              <w:rPr>
                <w:rFonts w:hint="default" w:ascii="宋体" w:hAnsi="宋体" w:cs="宋体"/>
                <w:b/>
                <w:bCs/>
                <w:kern w:val="0"/>
                <w:sz w:val="24"/>
                <w:szCs w:val="24"/>
                <w:lang w:val="en-US" w:eastAsia="zh-CN"/>
              </w:rPr>
            </w:pPr>
            <w:r>
              <w:rPr>
                <w:rFonts w:hint="eastAsia" w:ascii="宋体" w:hAnsi="宋体" w:cs="宋体"/>
                <w:b/>
                <w:bCs/>
                <w:kern w:val="0"/>
                <w:sz w:val="24"/>
                <w:szCs w:val="24"/>
                <w:lang w:val="en-US" w:eastAsia="zh-CN"/>
              </w:rPr>
              <w:t>1</w:t>
            </w:r>
          </w:p>
        </w:tc>
        <w:tc>
          <w:tcPr>
            <w:tcW w:w="2625" w:type="dxa"/>
            <w:shd w:val="clear" w:color="auto" w:fill="auto"/>
            <w:vAlign w:val="bottom"/>
          </w:tcPr>
          <w:p w14:paraId="38E1168A">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小而密低密度脂蛋白胆固醇检测试剂盒</w:t>
            </w:r>
          </w:p>
        </w:tc>
        <w:tc>
          <w:tcPr>
            <w:tcW w:w="5640" w:type="dxa"/>
            <w:shd w:val="clear" w:color="auto" w:fill="auto"/>
            <w:vAlign w:val="bottom"/>
          </w:tcPr>
          <w:p w14:paraId="0DEFA562">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用于检测血清中小而密低密度脂蛋白胆固醇的含量，可与罗氏全自动生化免疫分析仪（型号：701）配合使用.</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widowControl/>
              <w:jc w:val="center"/>
              <w:rPr>
                <w:rFonts w:hint="default" w:ascii="宋体" w:hAnsi="宋体" w:cs="宋体"/>
                <w:b/>
                <w:bCs/>
                <w:kern w:val="0"/>
                <w:sz w:val="24"/>
                <w:szCs w:val="24"/>
                <w:lang w:val="en-US" w:eastAsia="zh-CN"/>
              </w:rPr>
            </w:pPr>
            <w:r>
              <w:rPr>
                <w:rFonts w:hint="eastAsia" w:ascii="宋体" w:hAnsi="宋体" w:cs="宋体"/>
                <w:b/>
                <w:bCs/>
                <w:kern w:val="0"/>
                <w:sz w:val="24"/>
                <w:szCs w:val="24"/>
                <w:lang w:val="en-US" w:eastAsia="zh-CN"/>
              </w:rPr>
              <w:t>2</w:t>
            </w:r>
          </w:p>
        </w:tc>
        <w:tc>
          <w:tcPr>
            <w:tcW w:w="2625" w:type="dxa"/>
            <w:shd w:val="clear" w:color="auto" w:fill="auto"/>
            <w:vAlign w:val="bottom"/>
          </w:tcPr>
          <w:p w14:paraId="21269D29">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视黄醇结合蛋白检测试剂盒</w:t>
            </w:r>
          </w:p>
        </w:tc>
        <w:tc>
          <w:tcPr>
            <w:tcW w:w="5640" w:type="dxa"/>
            <w:shd w:val="clear" w:color="auto" w:fill="auto"/>
            <w:vAlign w:val="bottom"/>
          </w:tcPr>
          <w:p w14:paraId="01247761">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用于人血清中视黄醇结合蛋白(RBP)的体外定量测定。可与罗氏全自动生化免疫分析仪（型号：701）配合使用.</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widowControl/>
              <w:jc w:val="center"/>
              <w:rPr>
                <w:rFonts w:hint="default" w:ascii="宋体" w:hAnsi="宋体" w:cs="宋体"/>
                <w:b/>
                <w:bCs/>
                <w:kern w:val="0"/>
                <w:sz w:val="24"/>
                <w:szCs w:val="24"/>
                <w:lang w:val="en-US" w:eastAsia="zh-CN"/>
              </w:rPr>
            </w:pPr>
            <w:r>
              <w:rPr>
                <w:rFonts w:hint="eastAsia" w:ascii="宋体" w:hAnsi="宋体" w:cs="宋体"/>
                <w:b/>
                <w:bCs/>
                <w:kern w:val="0"/>
                <w:sz w:val="24"/>
                <w:szCs w:val="24"/>
                <w:lang w:val="en-US" w:eastAsia="zh-CN"/>
              </w:rPr>
              <w:t>3</w:t>
            </w:r>
          </w:p>
        </w:tc>
        <w:tc>
          <w:tcPr>
            <w:tcW w:w="2625" w:type="dxa"/>
            <w:shd w:val="clear" w:color="auto" w:fill="auto"/>
            <w:vAlign w:val="bottom"/>
          </w:tcPr>
          <w:p w14:paraId="6C6D24B7">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游离脂肪酸测定试剂盒</w:t>
            </w:r>
          </w:p>
        </w:tc>
        <w:tc>
          <w:tcPr>
            <w:tcW w:w="5640" w:type="dxa"/>
            <w:shd w:val="clear" w:color="auto" w:fill="auto"/>
            <w:vAlign w:val="bottom"/>
          </w:tcPr>
          <w:p w14:paraId="31C0E131">
            <w:pPr>
              <w:widowControl/>
              <w:jc w:val="center"/>
              <w:rPr>
                <w:rFonts w:hint="eastAsia" w:ascii="宋体" w:hAnsi="宋体" w:cs="宋体"/>
                <w:b/>
                <w:bCs/>
                <w:kern w:val="0"/>
                <w:sz w:val="24"/>
                <w:szCs w:val="24"/>
                <w:lang w:val="en-US" w:eastAsia="zh-CN"/>
              </w:rPr>
            </w:pPr>
            <w:r>
              <w:rPr>
                <w:rFonts w:hint="eastAsia" w:ascii="宋体" w:hAnsi="宋体" w:cs="宋体"/>
                <w:b/>
                <w:bCs/>
                <w:kern w:val="0"/>
                <w:sz w:val="24"/>
                <w:szCs w:val="24"/>
                <w:lang w:val="en-US" w:eastAsia="zh-CN"/>
              </w:rPr>
              <w:t>用于体外定量测定人血清或血浆中游离脂肪酸的含量。可与罗氏全自动生化免疫分析仪（型号：701）配合使用.</w:t>
            </w:r>
          </w:p>
        </w:tc>
      </w:tr>
    </w:tbl>
    <w:p w14:paraId="3F344D63">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hint="eastAsia" w:ascii="宋体" w:hAnsi="宋体"/>
          <w:bCs/>
          <w:color w:val="000000" w:themeColor="text1"/>
          <w:sz w:val="24"/>
          <w:lang w:val="en-US" w:eastAsia="zh-CN"/>
          <w14:textFill>
            <w14:solidFill>
              <w14:schemeClr w14:val="tx1"/>
            </w14:solidFill>
          </w14:textFill>
        </w:rPr>
        <w:t>5</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3</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12</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3C5C784D">
      <w:pPr>
        <w:adjustRightInd w:val="0"/>
        <w:snapToGrid w:val="0"/>
        <w:spacing w:line="360" w:lineRule="auto"/>
        <w:ind w:right="480"/>
        <w:jc w:val="center"/>
        <w:rPr>
          <w:rFonts w:ascii="宋体" w:hAnsi="宋体" w:cs="宋体"/>
          <w:b/>
          <w:snapToGrid w:val="0"/>
          <w:kern w:val="0"/>
          <w:sz w:val="32"/>
          <w:szCs w:val="20"/>
        </w:rPr>
      </w:pPr>
    </w:p>
    <w:p w14:paraId="770B9A1D">
      <w:pPr>
        <w:adjustRightInd w:val="0"/>
        <w:snapToGrid w:val="0"/>
        <w:spacing w:line="360" w:lineRule="auto"/>
        <w:ind w:right="480"/>
        <w:jc w:val="center"/>
        <w:rPr>
          <w:rFonts w:ascii="宋体" w:hAnsi="宋体" w:cs="宋体"/>
          <w:b/>
          <w:snapToGrid w:val="0"/>
          <w:kern w:val="0"/>
          <w:sz w:val="32"/>
          <w:szCs w:val="20"/>
        </w:rPr>
      </w:pPr>
    </w:p>
    <w:p w14:paraId="1824AC75">
      <w:pPr>
        <w:adjustRightInd w:val="0"/>
        <w:snapToGrid w:val="0"/>
        <w:spacing w:line="360" w:lineRule="auto"/>
        <w:ind w:right="480"/>
        <w:jc w:val="center"/>
        <w:rPr>
          <w:rFonts w:ascii="宋体" w:hAnsi="宋体" w:cs="宋体"/>
          <w:b/>
          <w:snapToGrid w:val="0"/>
          <w:kern w:val="0"/>
          <w:sz w:val="32"/>
          <w:szCs w:val="20"/>
        </w:rPr>
      </w:pPr>
    </w:p>
    <w:p w14:paraId="307FAAC5">
      <w:pPr>
        <w:adjustRightInd w:val="0"/>
        <w:snapToGrid w:val="0"/>
        <w:spacing w:line="360" w:lineRule="auto"/>
        <w:ind w:right="480"/>
        <w:jc w:val="center"/>
        <w:rPr>
          <w:rFonts w:ascii="宋体" w:hAnsi="宋体" w:cs="宋体"/>
          <w:b/>
          <w:snapToGrid w:val="0"/>
          <w:kern w:val="0"/>
          <w:sz w:val="32"/>
          <w:szCs w:val="20"/>
        </w:rPr>
      </w:pPr>
    </w:p>
    <w:p w14:paraId="3F08FDF3">
      <w:pPr>
        <w:adjustRightInd w:val="0"/>
        <w:snapToGrid w:val="0"/>
        <w:spacing w:line="360" w:lineRule="auto"/>
        <w:ind w:right="480"/>
        <w:jc w:val="center"/>
        <w:rPr>
          <w:rFonts w:ascii="宋体" w:hAnsi="宋体" w:cs="宋体"/>
          <w:b/>
          <w:snapToGrid w:val="0"/>
          <w:kern w:val="0"/>
          <w:sz w:val="32"/>
          <w:szCs w:val="20"/>
        </w:rPr>
      </w:pPr>
    </w:p>
    <w:p w14:paraId="0FC12FCE">
      <w:pPr>
        <w:adjustRightInd w:val="0"/>
        <w:snapToGrid w:val="0"/>
        <w:spacing w:line="360" w:lineRule="auto"/>
        <w:ind w:right="480"/>
        <w:jc w:val="center"/>
        <w:rPr>
          <w:rFonts w:ascii="宋体" w:hAnsi="宋体" w:cs="宋体"/>
          <w:b/>
          <w:snapToGrid w:val="0"/>
          <w:kern w:val="0"/>
          <w:sz w:val="32"/>
          <w:szCs w:val="20"/>
        </w:rPr>
      </w:pPr>
    </w:p>
    <w:p w14:paraId="577B4319">
      <w:pPr>
        <w:adjustRightInd w:val="0"/>
        <w:snapToGrid w:val="0"/>
        <w:spacing w:line="360" w:lineRule="auto"/>
        <w:ind w:right="480"/>
        <w:jc w:val="center"/>
        <w:rPr>
          <w:rFonts w:ascii="宋体" w:hAnsi="宋体" w:cs="宋体"/>
          <w:b/>
          <w:snapToGrid w:val="0"/>
          <w:kern w:val="0"/>
          <w:sz w:val="32"/>
          <w:szCs w:val="20"/>
        </w:rPr>
      </w:pPr>
    </w:p>
    <w:p w14:paraId="1F5A103E">
      <w:pPr>
        <w:adjustRightInd w:val="0"/>
        <w:snapToGrid w:val="0"/>
        <w:spacing w:line="360" w:lineRule="auto"/>
        <w:ind w:right="480"/>
        <w:jc w:val="center"/>
        <w:rPr>
          <w:rFonts w:ascii="宋体" w:hAnsi="宋体" w:cs="宋体"/>
          <w:b/>
          <w:snapToGrid w:val="0"/>
          <w:kern w:val="0"/>
          <w:sz w:val="32"/>
          <w:szCs w:val="20"/>
        </w:rPr>
      </w:pPr>
    </w:p>
    <w:p w14:paraId="438B8AAA">
      <w:pPr>
        <w:adjustRightInd w:val="0"/>
        <w:snapToGrid w:val="0"/>
        <w:spacing w:line="360" w:lineRule="auto"/>
        <w:ind w:right="480"/>
        <w:jc w:val="center"/>
        <w:rPr>
          <w:rFonts w:ascii="宋体" w:hAnsi="宋体" w:cs="宋体"/>
          <w:b/>
          <w:snapToGrid w:val="0"/>
          <w:kern w:val="0"/>
          <w:sz w:val="32"/>
          <w:szCs w:val="20"/>
        </w:rPr>
      </w:pPr>
    </w:p>
    <w:p w14:paraId="376E4122">
      <w:pPr>
        <w:adjustRightInd w:val="0"/>
        <w:snapToGrid w:val="0"/>
        <w:spacing w:line="360" w:lineRule="auto"/>
        <w:ind w:right="480"/>
        <w:jc w:val="center"/>
        <w:rPr>
          <w:rFonts w:ascii="宋体" w:hAnsi="宋体" w:cs="宋体"/>
          <w:b/>
          <w:snapToGrid w:val="0"/>
          <w:kern w:val="0"/>
          <w:sz w:val="32"/>
          <w:szCs w:val="20"/>
        </w:rPr>
      </w:pPr>
    </w:p>
    <w:p w14:paraId="6D765BEF">
      <w:pPr>
        <w:adjustRightInd w:val="0"/>
        <w:snapToGrid w:val="0"/>
        <w:spacing w:line="360" w:lineRule="auto"/>
        <w:ind w:right="480"/>
        <w:jc w:val="center"/>
        <w:rPr>
          <w:rFonts w:ascii="宋体" w:hAnsi="宋体" w:cs="宋体"/>
          <w:b/>
          <w:snapToGrid w:val="0"/>
          <w:kern w:val="0"/>
          <w:sz w:val="32"/>
          <w:szCs w:val="20"/>
        </w:rPr>
      </w:pPr>
    </w:p>
    <w:p w14:paraId="7A4A671C">
      <w:pPr>
        <w:adjustRightInd w:val="0"/>
        <w:snapToGrid w:val="0"/>
        <w:spacing w:line="360" w:lineRule="auto"/>
        <w:ind w:right="480"/>
        <w:jc w:val="center"/>
        <w:rPr>
          <w:rFonts w:ascii="宋体" w:hAnsi="宋体" w:cs="宋体"/>
          <w:b/>
          <w:snapToGrid w:val="0"/>
          <w:kern w:val="0"/>
          <w:sz w:val="32"/>
          <w:szCs w:val="20"/>
        </w:rPr>
      </w:pPr>
    </w:p>
    <w:p w14:paraId="701E35DB">
      <w:pPr>
        <w:adjustRightInd w:val="0"/>
        <w:snapToGrid w:val="0"/>
        <w:spacing w:line="360" w:lineRule="auto"/>
        <w:ind w:right="480"/>
        <w:jc w:val="center"/>
        <w:rPr>
          <w:rFonts w:ascii="宋体" w:hAnsi="宋体" w:cs="宋体"/>
          <w:b/>
          <w:snapToGrid w:val="0"/>
          <w:kern w:val="0"/>
          <w:sz w:val="32"/>
          <w:szCs w:val="20"/>
        </w:rPr>
      </w:pPr>
    </w:p>
    <w:p w14:paraId="2517568E">
      <w:pPr>
        <w:adjustRightInd w:val="0"/>
        <w:snapToGrid w:val="0"/>
        <w:spacing w:line="360" w:lineRule="auto"/>
        <w:ind w:right="480"/>
        <w:jc w:val="center"/>
        <w:rPr>
          <w:rFonts w:ascii="宋体" w:hAnsi="宋体" w:cs="宋体"/>
          <w:b/>
          <w:snapToGrid w:val="0"/>
          <w:kern w:val="0"/>
          <w:sz w:val="32"/>
          <w:szCs w:val="20"/>
        </w:rPr>
      </w:pPr>
    </w:p>
    <w:p w14:paraId="194FC968">
      <w:pPr>
        <w:adjustRightInd w:val="0"/>
        <w:snapToGrid w:val="0"/>
        <w:spacing w:line="360" w:lineRule="auto"/>
        <w:ind w:right="480"/>
        <w:jc w:val="center"/>
        <w:rPr>
          <w:rFonts w:ascii="宋体" w:hAnsi="宋体" w:cs="宋体"/>
          <w:b/>
          <w:snapToGrid w:val="0"/>
          <w:kern w:val="0"/>
          <w:sz w:val="32"/>
          <w:szCs w:val="20"/>
        </w:rPr>
      </w:pPr>
    </w:p>
    <w:p w14:paraId="2E40B338">
      <w:pPr>
        <w:adjustRightInd w:val="0"/>
        <w:snapToGrid w:val="0"/>
        <w:spacing w:line="360" w:lineRule="auto"/>
        <w:ind w:right="480"/>
        <w:jc w:val="center"/>
        <w:rPr>
          <w:rFonts w:ascii="宋体" w:hAnsi="宋体" w:cs="宋体"/>
          <w:b/>
          <w:snapToGrid w:val="0"/>
          <w:kern w:val="0"/>
          <w:sz w:val="32"/>
          <w:szCs w:val="20"/>
        </w:rPr>
      </w:pPr>
    </w:p>
    <w:p w14:paraId="48AD38E3">
      <w:pPr>
        <w:adjustRightInd w:val="0"/>
        <w:snapToGrid w:val="0"/>
        <w:spacing w:line="360" w:lineRule="auto"/>
        <w:ind w:right="480"/>
        <w:jc w:val="center"/>
        <w:rPr>
          <w:rFonts w:ascii="宋体" w:hAnsi="宋体" w:cs="宋体"/>
          <w:b/>
          <w:snapToGrid w:val="0"/>
          <w:kern w:val="0"/>
          <w:sz w:val="32"/>
          <w:szCs w:val="20"/>
        </w:rPr>
      </w:pPr>
    </w:p>
    <w:p w14:paraId="1E643DA5">
      <w:pPr>
        <w:adjustRightInd w:val="0"/>
        <w:snapToGrid w:val="0"/>
        <w:spacing w:line="360" w:lineRule="auto"/>
        <w:ind w:right="480"/>
        <w:jc w:val="center"/>
        <w:rPr>
          <w:rFonts w:ascii="宋体" w:hAnsi="宋体" w:cs="宋体"/>
          <w:b/>
          <w:snapToGrid w:val="0"/>
          <w:kern w:val="0"/>
          <w:sz w:val="32"/>
          <w:szCs w:val="20"/>
        </w:rPr>
      </w:pPr>
    </w:p>
    <w:p w14:paraId="7FFA0601">
      <w:pPr>
        <w:adjustRightInd w:val="0"/>
        <w:snapToGrid w:val="0"/>
        <w:spacing w:line="360" w:lineRule="auto"/>
        <w:ind w:right="480"/>
        <w:jc w:val="center"/>
        <w:rPr>
          <w:rFonts w:ascii="宋体" w:hAnsi="宋体" w:cs="宋体"/>
          <w:b/>
          <w:snapToGrid w:val="0"/>
          <w:kern w:val="0"/>
          <w:sz w:val="32"/>
          <w:szCs w:val="20"/>
        </w:rPr>
      </w:pP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2D527B6"/>
    <w:rsid w:val="2C8F15FC"/>
    <w:rsid w:val="32F028E2"/>
    <w:rsid w:val="3B575546"/>
    <w:rsid w:val="415F5D48"/>
    <w:rsid w:val="4509471E"/>
    <w:rsid w:val="4F751EA3"/>
    <w:rsid w:val="62BA0F02"/>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1732</Words>
  <Characters>1899</Characters>
  <Lines>44</Lines>
  <Paragraphs>12</Paragraphs>
  <TotalTime>0</TotalTime>
  <ScaleCrop>false</ScaleCrop>
  <LinksUpToDate>false</LinksUpToDate>
  <CharactersWithSpaces>1911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2025-03-06T07:24:38Z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3BE9EE1C1A094EAD8C4D4DCF99F0F512_13</vt:lpwstr>
  </property>
  <property fmtid="{D5CDD505-2E9C-101B-9397-08002B2CF9AE}" pid="4" name="KSOTemplateDocerSaveRecord">
    <vt:lpwstr>eyJoZGlkIjoiOWIxZmRlMjllYTcwNDNkOTA1MDBlOTZiYTE5NGIxOGMiLCJ1c2VySWQiOiIxMjUyMjMxNzQwIn0=</vt:lpwstr>
  </property>
</Properties>
</file>