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default" w:ascii="黑体" w:hAnsi="黑体" w:eastAsia="黑体"/>
          <w:sz w:val="32"/>
          <w:szCs w:val="32"/>
          <w:lang w:val="en-US"/>
        </w:rPr>
        <w:t>5</w:t>
      </w:r>
      <w:r>
        <w:rPr>
          <w:rFonts w:ascii="黑体" w:hAnsi="黑体" w:eastAsia="黑体"/>
          <w:sz w:val="32"/>
          <w:szCs w:val="32"/>
        </w:rPr>
        <w:t>0</w:t>
      </w:r>
      <w:r>
        <w:rPr>
          <w:rFonts w:hint="default" w:ascii="黑体" w:hAnsi="黑体" w:eastAsia="黑体"/>
          <w:sz w:val="32"/>
          <w:szCs w:val="32"/>
          <w:lang w:val="en-US"/>
        </w:rPr>
        <w:t>06</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default" w:ascii="黑体" w:hAnsi="黑体" w:eastAsia="黑体"/>
          <w:sz w:val="32"/>
          <w:szCs w:val="32"/>
          <w:lang w:val="en-US"/>
        </w:rPr>
        <w:t>5</w:t>
      </w:r>
      <w:r>
        <w:rPr>
          <w:rFonts w:ascii="黑体" w:hAnsi="黑体" w:eastAsia="黑体"/>
          <w:sz w:val="32"/>
          <w:szCs w:val="32"/>
        </w:rPr>
        <w:t>年</w:t>
      </w:r>
      <w:r>
        <w:rPr>
          <w:rFonts w:hint="default" w:ascii="黑体" w:hAnsi="黑体" w:eastAsia="黑体"/>
          <w:sz w:val="32"/>
          <w:szCs w:val="32"/>
          <w:lang w:val="en-US"/>
        </w:rPr>
        <w:t>4</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default" w:ascii="宋体" w:hAnsi="宋体"/>
          <w:color w:val="000000" w:themeColor="text1"/>
          <w:sz w:val="24"/>
          <w:u w:val="single"/>
          <w:lang w:val="en-US"/>
          <w14:textFill>
            <w14:solidFill>
              <w14:schemeClr w14:val="tx1"/>
            </w14:solidFill>
          </w14:textFill>
        </w:rPr>
        <w:t>5</w:t>
      </w:r>
      <w:r>
        <w:rPr>
          <w:rFonts w:ascii="宋体" w:hAnsi="宋体"/>
          <w:color w:val="000000" w:themeColor="text1"/>
          <w:sz w:val="24"/>
          <w:u w:val="single"/>
          <w:lang w:val="zh-CN"/>
          <w14:textFill>
            <w14:solidFill>
              <w14:schemeClr w14:val="tx1"/>
            </w14:solidFill>
          </w14:textFill>
        </w:rPr>
        <w:t>0</w:t>
      </w:r>
      <w:r>
        <w:rPr>
          <w:rFonts w:hint="default" w:ascii="宋体" w:hAnsi="宋体"/>
          <w:color w:val="000000" w:themeColor="text1"/>
          <w:sz w:val="24"/>
          <w:u w:val="single"/>
          <w:lang w:val="en-US"/>
          <w14:textFill>
            <w14:solidFill>
              <w14:schemeClr w14:val="tx1"/>
            </w14:solidFill>
          </w14:textFill>
        </w:rPr>
        <w:t>06</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1</w:t>
            </w:r>
          </w:p>
        </w:tc>
        <w:tc>
          <w:tcPr>
            <w:tcW w:w="2625" w:type="dxa"/>
            <w:shd w:val="clear" w:color="auto" w:fill="auto"/>
            <w:vAlign w:val="center"/>
          </w:tcPr>
          <w:p w14:paraId="38E1168A">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一次性使用无菌儿童导尿管</w:t>
            </w:r>
          </w:p>
        </w:tc>
        <w:tc>
          <w:tcPr>
            <w:tcW w:w="5640" w:type="dxa"/>
            <w:shd w:val="clear" w:color="auto" w:fill="auto"/>
            <w:vAlign w:val="center"/>
          </w:tcPr>
          <w:p w14:paraId="0DEFA562">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1.适用于短期使用，符合标准《YY/T 0325-2022 一次性使用无菌导尿管》；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2.8Fr~10Fr，单腔。</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2</w:t>
            </w:r>
          </w:p>
        </w:tc>
        <w:tc>
          <w:tcPr>
            <w:tcW w:w="2625" w:type="dxa"/>
            <w:shd w:val="clear" w:color="auto" w:fill="auto"/>
            <w:vAlign w:val="center"/>
          </w:tcPr>
          <w:p w14:paraId="21269D29">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一次性使用无菌乳胶导尿管1</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1.适用于临时导尿或留置导尿，符合标准《YY/T 0325-2022 一次性使用无菌导尿管》；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2.8Fr~24Fr，双腔/三腔，规格型号齐全；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3.最长留置时间≥14天；</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3</w:t>
            </w:r>
          </w:p>
        </w:tc>
        <w:tc>
          <w:tcPr>
            <w:tcW w:w="2625" w:type="dxa"/>
            <w:shd w:val="clear" w:color="auto" w:fill="auto"/>
            <w:vAlign w:val="center"/>
          </w:tcPr>
          <w:p w14:paraId="6C6D24B7">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一次性使用无菌乳胶导尿管2</w:t>
            </w:r>
          </w:p>
        </w:tc>
        <w:tc>
          <w:tcPr>
            <w:tcW w:w="5640" w:type="dxa"/>
            <w:shd w:val="clear" w:color="auto" w:fill="auto"/>
            <w:vAlign w:val="center"/>
          </w:tcPr>
          <w:p w14:paraId="31C0E131">
            <w:pPr>
              <w:keepNext w:val="0"/>
              <w:keepLines w:val="0"/>
              <w:widowControl/>
              <w:suppressLineNumbers w:val="0"/>
              <w:jc w:val="left"/>
              <w:textAlignment w:val="center"/>
              <w:rPr>
                <w:rFonts w:hint="eastAsia" w:ascii="宋体" w:hAnsi="宋体"/>
                <w:sz w:val="21"/>
                <w:szCs w:val="21"/>
                <w:lang w:val="en-US" w:eastAsia="zh-CN"/>
              </w:rPr>
            </w:pPr>
            <w:r>
              <w:rPr>
                <w:rStyle w:val="33"/>
                <w:lang w:val="en-US" w:eastAsia="zh-CN" w:bidi="ar"/>
              </w:rPr>
              <w:t>1.适用于患者长期留置导尿管或作为膀胱造瘘管使用，可延长两者更换时间，减少导尿管相关尿路感染发生。符合标准《YY/T 0325-2022 一</w:t>
            </w:r>
            <w:r>
              <w:rPr>
                <w:rStyle w:val="34"/>
                <w:lang w:val="en-US" w:eastAsia="zh-CN" w:bidi="ar"/>
              </w:rPr>
              <w:t>次性使用无菌导尿管》；</w:t>
            </w:r>
            <w:r>
              <w:rPr>
                <w:rStyle w:val="34"/>
                <w:lang w:val="en-US" w:eastAsia="zh-CN" w:bidi="ar"/>
              </w:rPr>
              <w:br w:type="textWrapping"/>
            </w:r>
            <w:r>
              <w:rPr>
                <w:rStyle w:val="34"/>
                <w:lang w:val="en-US" w:eastAsia="zh-CN" w:bidi="ar"/>
              </w:rPr>
              <w:t>2.8Fr~24Fr，双腔/三腔，规格型号齐全；</w:t>
            </w:r>
            <w:r>
              <w:rPr>
                <w:rStyle w:val="33"/>
                <w:lang w:val="en-US" w:eastAsia="zh-CN" w:bidi="ar"/>
              </w:rPr>
              <w:br w:type="textWrapping"/>
            </w:r>
            <w:r>
              <w:rPr>
                <w:rStyle w:val="33"/>
                <w:lang w:val="en-US" w:eastAsia="zh-CN" w:bidi="ar"/>
              </w:rPr>
              <w:t>3.最长留置时间≥28天；</w:t>
            </w:r>
          </w:p>
        </w:tc>
      </w:tr>
      <w:tr w14:paraId="54E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79A6271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4</w:t>
            </w:r>
          </w:p>
        </w:tc>
        <w:tc>
          <w:tcPr>
            <w:tcW w:w="2625" w:type="dxa"/>
            <w:shd w:val="clear" w:color="auto" w:fill="auto"/>
            <w:vAlign w:val="center"/>
          </w:tcPr>
          <w:p w14:paraId="0F78A997">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一次性使用无菌硅胶导尿管</w:t>
            </w:r>
          </w:p>
        </w:tc>
        <w:tc>
          <w:tcPr>
            <w:tcW w:w="5640" w:type="dxa"/>
            <w:shd w:val="clear" w:color="auto" w:fill="auto"/>
            <w:vAlign w:val="center"/>
          </w:tcPr>
          <w:p w14:paraId="70E29194">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1.适用于临时导尿或留置导尿，符合标准《YY/T 0325-2022 一次性使用无菌导尿管》；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2.8Fr~24Fr，双腔/三腔，规格型号齐全；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3.最长留置时间≥28天；</w:t>
            </w:r>
          </w:p>
        </w:tc>
      </w:tr>
      <w:tr w14:paraId="4479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406469E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5</w:t>
            </w:r>
          </w:p>
        </w:tc>
        <w:tc>
          <w:tcPr>
            <w:tcW w:w="2625" w:type="dxa"/>
            <w:shd w:val="clear" w:color="auto" w:fill="auto"/>
            <w:vAlign w:val="center"/>
          </w:tcPr>
          <w:p w14:paraId="30EC77C7">
            <w:pPr>
              <w:keepNext w:val="0"/>
              <w:keepLines w:val="0"/>
              <w:widowControl/>
              <w:suppressLineNumbers w:val="0"/>
              <w:jc w:val="center"/>
              <w:textAlignment w:val="center"/>
              <w:rPr>
                <w:rFonts w:hint="eastAsia" w:ascii="宋体" w:hAnsi="宋体"/>
                <w:sz w:val="21"/>
                <w:szCs w:val="21"/>
              </w:rPr>
            </w:pPr>
            <w:r>
              <w:rPr>
                <w:rFonts w:hint="eastAsia" w:ascii="宋体" w:hAnsi="宋体" w:eastAsia="宋体" w:cs="宋体"/>
                <w:i w:val="0"/>
                <w:iCs w:val="0"/>
                <w:color w:val="000000"/>
                <w:kern w:val="0"/>
                <w:sz w:val="22"/>
                <w:szCs w:val="22"/>
                <w:u w:val="none"/>
                <w:lang w:val="en-US" w:eastAsia="zh-CN" w:bidi="ar"/>
              </w:rPr>
              <w:t>压力蒸汽灭菌包内化学指示卡</w:t>
            </w:r>
          </w:p>
        </w:tc>
        <w:tc>
          <w:tcPr>
            <w:tcW w:w="5640" w:type="dxa"/>
            <w:shd w:val="clear" w:color="auto" w:fill="auto"/>
            <w:vAlign w:val="center"/>
          </w:tcPr>
          <w:p w14:paraId="24058DF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2"/>
                <w:szCs w:val="22"/>
                <w:u w:val="none"/>
                <w:lang w:val="en-US" w:eastAsia="zh-CN" w:bidi="ar"/>
              </w:rPr>
              <w:t>1.第五类化学指示物（爬行式），用于对压力蒸汽灭菌所有关键过程变量的化学监测。可监测134℃压力蒸汽灭菌参数。反应蒸汽灭菌循环中所有关键参数，并与生物指示物结果相关，可用于植入物提前放行；</w:t>
            </w:r>
            <w:bookmarkStart w:id="1" w:name="_GoBack"/>
            <w:bookmarkEnd w:id="1"/>
          </w:p>
        </w:tc>
      </w:tr>
      <w:tr w14:paraId="7130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544DF3F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6</w:t>
            </w:r>
          </w:p>
        </w:tc>
        <w:tc>
          <w:tcPr>
            <w:tcW w:w="2625" w:type="dxa"/>
            <w:shd w:val="clear" w:color="auto" w:fill="auto"/>
            <w:vAlign w:val="center"/>
          </w:tcPr>
          <w:p w14:paraId="5311336D">
            <w:pPr>
              <w:keepNext w:val="0"/>
              <w:keepLines w:val="0"/>
              <w:widowControl/>
              <w:suppressLineNumbers w:val="0"/>
              <w:jc w:val="center"/>
              <w:textAlignment w:val="center"/>
              <w:rPr>
                <w:rFonts w:hint="eastAsia" w:ascii="宋体" w:hAnsi="宋体"/>
                <w:sz w:val="21"/>
                <w:szCs w:val="21"/>
              </w:rPr>
            </w:pPr>
            <w:r>
              <w:rPr>
                <w:rFonts w:hint="eastAsia" w:ascii="宋体" w:hAnsi="宋体" w:eastAsia="宋体" w:cs="宋体"/>
                <w:i w:val="0"/>
                <w:iCs w:val="0"/>
                <w:color w:val="000000"/>
                <w:kern w:val="0"/>
                <w:sz w:val="22"/>
                <w:szCs w:val="22"/>
                <w:u w:val="none"/>
                <w:lang w:val="en-US" w:eastAsia="zh-CN" w:bidi="ar"/>
              </w:rPr>
              <w:t>漂浮导管</w:t>
            </w:r>
          </w:p>
        </w:tc>
        <w:tc>
          <w:tcPr>
            <w:tcW w:w="5640" w:type="dxa"/>
            <w:shd w:val="clear" w:color="auto" w:fill="auto"/>
            <w:vAlign w:val="center"/>
          </w:tcPr>
          <w:p w14:paraId="01ED609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2"/>
                <w:szCs w:val="22"/>
                <w:u w:val="none"/>
                <w:lang w:val="en-US" w:eastAsia="zh-CN" w:bidi="ar"/>
              </w:rPr>
              <w:t>配套爱德华、GE监护使用。用于监测心脏的血流动力学变化，包括右心和肺动脉压力、心输出量、混合静脉氧饱和度、舒张末期容积。</w:t>
            </w:r>
          </w:p>
        </w:tc>
      </w:tr>
      <w:tr w14:paraId="1F11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2024701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7</w:t>
            </w:r>
          </w:p>
        </w:tc>
        <w:tc>
          <w:tcPr>
            <w:tcW w:w="2625" w:type="dxa"/>
            <w:shd w:val="clear" w:color="auto" w:fill="auto"/>
            <w:vAlign w:val="center"/>
          </w:tcPr>
          <w:p w14:paraId="31FA4624">
            <w:pPr>
              <w:keepNext w:val="0"/>
              <w:keepLines w:val="0"/>
              <w:widowControl/>
              <w:suppressLineNumbers w:val="0"/>
              <w:jc w:val="center"/>
              <w:textAlignment w:val="center"/>
              <w:rPr>
                <w:rFonts w:hint="eastAsia" w:ascii="宋体" w:hAnsi="宋体"/>
                <w:sz w:val="21"/>
                <w:szCs w:val="21"/>
              </w:rPr>
            </w:pPr>
            <w:r>
              <w:rPr>
                <w:rFonts w:hint="eastAsia" w:ascii="宋体" w:hAnsi="宋体" w:eastAsia="宋体" w:cs="宋体"/>
                <w:i w:val="0"/>
                <w:iCs w:val="0"/>
                <w:color w:val="000000"/>
                <w:kern w:val="0"/>
                <w:sz w:val="22"/>
                <w:szCs w:val="22"/>
                <w:u w:val="none"/>
                <w:lang w:val="en-US" w:eastAsia="zh-CN" w:bidi="ar"/>
              </w:rPr>
              <w:t>心排量及压力监测传感器</w:t>
            </w:r>
          </w:p>
        </w:tc>
        <w:tc>
          <w:tcPr>
            <w:tcW w:w="5640" w:type="dxa"/>
            <w:shd w:val="clear" w:color="auto" w:fill="auto"/>
            <w:vAlign w:val="center"/>
          </w:tcPr>
          <w:p w14:paraId="3F3D394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2"/>
                <w:szCs w:val="22"/>
                <w:u w:val="none"/>
                <w:lang w:val="en-US" w:eastAsia="zh-CN" w:bidi="ar"/>
              </w:rPr>
              <w:t>配套Edwards心排量/静脉血氧饱和度监护仪（Vigileo）使用，用于测量心排量和血管内压力。</w:t>
            </w:r>
          </w:p>
        </w:tc>
      </w:tr>
      <w:tr w14:paraId="3F14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67F02DB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8</w:t>
            </w:r>
          </w:p>
        </w:tc>
        <w:tc>
          <w:tcPr>
            <w:tcW w:w="2625" w:type="dxa"/>
            <w:shd w:val="clear" w:color="auto" w:fill="auto"/>
            <w:vAlign w:val="center"/>
          </w:tcPr>
          <w:p w14:paraId="0EB7F194">
            <w:pPr>
              <w:keepNext w:val="0"/>
              <w:keepLines w:val="0"/>
              <w:widowControl/>
              <w:suppressLineNumbers w:val="0"/>
              <w:jc w:val="center"/>
              <w:textAlignment w:val="center"/>
              <w:rPr>
                <w:rFonts w:hint="eastAsia" w:ascii="宋体" w:hAnsi="宋体"/>
                <w:sz w:val="21"/>
                <w:szCs w:val="21"/>
              </w:rPr>
            </w:pPr>
            <w:r>
              <w:rPr>
                <w:rFonts w:hint="eastAsia" w:ascii="宋体" w:hAnsi="宋体" w:eastAsia="宋体" w:cs="宋体"/>
                <w:i w:val="0"/>
                <w:iCs w:val="0"/>
                <w:color w:val="000000"/>
                <w:kern w:val="0"/>
                <w:sz w:val="22"/>
                <w:szCs w:val="22"/>
                <w:u w:val="none"/>
                <w:lang w:val="en-US" w:eastAsia="zh-CN" w:bidi="ar"/>
              </w:rPr>
              <w:t>一次性使用口腔护理包</w:t>
            </w:r>
          </w:p>
        </w:tc>
        <w:tc>
          <w:tcPr>
            <w:tcW w:w="5640" w:type="dxa"/>
            <w:shd w:val="clear" w:color="auto" w:fill="auto"/>
            <w:vAlign w:val="center"/>
          </w:tcPr>
          <w:p w14:paraId="453AD893">
            <w:pPr>
              <w:keepNext w:val="0"/>
              <w:keepLines w:val="0"/>
              <w:widowControl/>
              <w:suppressLineNumbers w:val="0"/>
              <w:jc w:val="center"/>
              <w:textAlignment w:val="center"/>
              <w:rPr>
                <w:rFonts w:hint="eastAsia" w:ascii="宋体" w:hAnsi="宋体"/>
                <w:sz w:val="21"/>
                <w:szCs w:val="21"/>
              </w:rPr>
            </w:pPr>
            <w:r>
              <w:rPr>
                <w:rFonts w:hint="eastAsia" w:ascii="宋体" w:hAnsi="宋体" w:eastAsia="宋体" w:cs="宋体"/>
                <w:i w:val="0"/>
                <w:iCs w:val="0"/>
                <w:color w:val="000000"/>
                <w:kern w:val="0"/>
                <w:sz w:val="22"/>
                <w:szCs w:val="22"/>
                <w:u w:val="none"/>
                <w:lang w:val="en-US" w:eastAsia="zh-CN" w:bidi="ar"/>
              </w:rPr>
              <w:t>用于口腔检查用，器械盒内包含口镜、镊子、探针、棉球、围兜，另配套一次性杯子和餐巾纸，口镜要求防雾。</w:t>
            </w:r>
          </w:p>
        </w:tc>
      </w:tr>
    </w:tbl>
    <w:p w14:paraId="0486A25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default" w:ascii="宋体" w:hAnsi="宋体"/>
          <w:bCs/>
          <w:color w:val="000000" w:themeColor="text1"/>
          <w:sz w:val="24"/>
          <w:lang w:val="en-US"/>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default" w:ascii="宋体" w:hAnsi="宋体"/>
          <w:bCs/>
          <w:color w:val="000000" w:themeColor="text1"/>
          <w:sz w:val="24"/>
          <w:lang w:val="en-US"/>
          <w14:textFill>
            <w14:solidFill>
              <w14:schemeClr w14:val="tx1"/>
            </w14:solidFill>
          </w14:textFill>
        </w:rPr>
        <w:t>4</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w:t>
      </w:r>
      <w:r>
        <w:rPr>
          <w:rFonts w:hint="default" w:ascii="宋体" w:hAnsi="宋体"/>
          <w:bCs/>
          <w:color w:val="000000" w:themeColor="text1"/>
          <w:sz w:val="24"/>
          <w:lang w:val="en-US" w:eastAsia="zh-CN"/>
          <w14:textFill>
            <w14:solidFill>
              <w14:schemeClr w14:val="tx1"/>
            </w14:solidFill>
          </w14:textFill>
        </w:rPr>
        <w:t>1</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rFonts w:hint="eastAsia"/>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sz w:val="24"/>
          <w:szCs w:val="24"/>
          <w:lang w:val="en-US" w:eastAsia="zh-CN"/>
        </w:rPr>
        <w:t>;标项5：</w:t>
      </w:r>
      <w:r>
        <w:rPr>
          <w:rFonts w:hint="eastAsia" w:ascii="宋体" w:hAnsi="宋体" w:eastAsia="宋体" w:cs="宋体"/>
          <w:i w:val="0"/>
          <w:iCs w:val="0"/>
          <w:color w:val="000000"/>
          <w:kern w:val="0"/>
          <w:sz w:val="22"/>
          <w:szCs w:val="22"/>
          <w:u w:val="none"/>
          <w:lang w:val="en-US" w:eastAsia="zh-CN" w:bidi="ar"/>
        </w:rPr>
        <w:t>压力蒸汽灭菌包内化学指示卡</w:t>
      </w:r>
      <w:r>
        <w:rPr>
          <w:rFonts w:hint="eastAsia" w:ascii="宋体" w:hAnsi="宋体" w:cs="宋体"/>
          <w:i w:val="0"/>
          <w:iCs w:val="0"/>
          <w:color w:val="000000"/>
          <w:kern w:val="0"/>
          <w:sz w:val="22"/>
          <w:szCs w:val="22"/>
          <w:u w:val="none"/>
          <w:lang w:val="en-US" w:eastAsia="zh-CN" w:bidi="ar"/>
        </w:rPr>
        <w:t>还</w:t>
      </w:r>
      <w:r>
        <w:rPr>
          <w:rFonts w:hint="eastAsia" w:ascii="宋体" w:hAnsi="宋体" w:eastAsia="宋体" w:cs="宋体"/>
          <w:i w:val="0"/>
          <w:iCs w:val="0"/>
          <w:color w:val="000000"/>
          <w:kern w:val="0"/>
          <w:sz w:val="22"/>
          <w:szCs w:val="22"/>
          <w:u w:val="none"/>
          <w:lang w:val="en-US" w:eastAsia="zh-CN" w:bidi="ar"/>
        </w:rPr>
        <w:t>需</w:t>
      </w:r>
      <w:r>
        <w:rPr>
          <w:rFonts w:hint="eastAsia" w:ascii="宋体" w:hAnsi="宋体" w:cs="宋体"/>
          <w:i w:val="0"/>
          <w:iCs w:val="0"/>
          <w:color w:val="000000"/>
          <w:kern w:val="0"/>
          <w:sz w:val="22"/>
          <w:szCs w:val="22"/>
          <w:u w:val="none"/>
          <w:lang w:val="en-US" w:eastAsia="zh-CN" w:bidi="ar"/>
        </w:rPr>
        <w:t>额外发送</w:t>
      </w:r>
      <w:r>
        <w:rPr>
          <w:rFonts w:hint="eastAsia" w:ascii="宋体" w:hAnsi="宋体" w:eastAsia="宋体" w:cs="宋体"/>
          <w:i w:val="0"/>
          <w:iCs w:val="0"/>
          <w:color w:val="000000"/>
          <w:kern w:val="0"/>
          <w:sz w:val="22"/>
          <w:szCs w:val="22"/>
          <w:u w:val="none"/>
          <w:lang w:val="en-US" w:eastAsia="zh-CN" w:bidi="ar"/>
        </w:rPr>
        <w:t>消毒产品安全评价报告电子版</w:t>
      </w:r>
      <w:r>
        <w:rPr>
          <w:rFonts w:hint="eastAsia" w:ascii="宋体" w:hAnsi="宋体" w:cs="宋体"/>
          <w:i w:val="0"/>
          <w:iCs w:val="0"/>
          <w:color w:val="000000"/>
          <w:kern w:val="0"/>
          <w:sz w:val="22"/>
          <w:szCs w:val="22"/>
          <w:u w:val="none"/>
          <w:lang w:val="en-US" w:eastAsia="zh-CN" w:bidi="ar"/>
        </w:rPr>
        <w:t>至</w:t>
      </w:r>
      <w:r>
        <w:rPr>
          <w:rFonts w:hint="eastAsia"/>
          <w:sz w:val="24"/>
          <w:szCs w:val="24"/>
        </w:rPr>
        <w:t>邮箱zjyyhczb_cgzx@163.com</w:t>
      </w:r>
      <w:r>
        <w:rPr>
          <w:rFonts w:hint="eastAsia"/>
          <w:sz w:val="24"/>
          <w:szCs w:val="24"/>
          <w:lang w:eastAsia="zh-CN"/>
        </w:rPr>
        <w:t>。</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47C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D3E88B5">
            <w:pPr>
              <w:keepNext w:val="0"/>
              <w:keepLines w:val="0"/>
              <w:widowControl/>
              <w:suppressLineNumbers w:val="0"/>
              <w:jc w:val="center"/>
              <w:textAlignment w:val="center"/>
              <w:rPr>
                <w:rFonts w:ascii="宋体" w:hAnsi="宋体"/>
                <w:sz w:val="24"/>
                <w:vertAlign w:val="baseline"/>
              </w:rPr>
            </w:pPr>
            <w:r>
              <w:rPr>
                <w:rFonts w:hint="eastAsia" w:ascii="等线" w:hAnsi="等线" w:eastAsia="等线" w:cs="等线"/>
                <w:i w:val="0"/>
                <w:iCs w:val="0"/>
                <w:color w:val="000000"/>
                <w:kern w:val="0"/>
                <w:sz w:val="22"/>
                <w:szCs w:val="22"/>
                <w:u w:val="none"/>
                <w:lang w:val="en-US" w:eastAsia="zh-CN" w:bidi="ar"/>
              </w:rPr>
              <w:t>一次性使用无菌儿童导尿管</w:t>
            </w:r>
          </w:p>
        </w:tc>
        <w:tc>
          <w:tcPr>
            <w:tcW w:w="4261" w:type="dxa"/>
            <w:vAlign w:val="center"/>
          </w:tcPr>
          <w:p w14:paraId="50413BA2">
            <w:pPr>
              <w:keepNext w:val="0"/>
              <w:keepLines w:val="0"/>
              <w:widowControl/>
              <w:suppressLineNumbers w:val="0"/>
              <w:jc w:val="left"/>
              <w:textAlignment w:val="center"/>
              <w:rPr>
                <w:rFonts w:ascii="宋体" w:hAnsi="宋体"/>
                <w:sz w:val="24"/>
                <w:vertAlign w:val="baseline"/>
              </w:rPr>
            </w:pPr>
            <w:r>
              <w:rPr>
                <w:rFonts w:hint="eastAsia" w:ascii="等线" w:hAnsi="等线" w:eastAsia="等线" w:cs="等线"/>
                <w:i w:val="0"/>
                <w:iCs w:val="0"/>
                <w:color w:val="000000"/>
                <w:kern w:val="0"/>
                <w:sz w:val="22"/>
                <w:szCs w:val="22"/>
                <w:u w:val="none"/>
                <w:lang w:val="en-US" w:eastAsia="zh-CN" w:bidi="ar"/>
              </w:rPr>
              <w:t>按中包装提供样品（8Fr，不少于10根）、说明书</w:t>
            </w:r>
          </w:p>
        </w:tc>
      </w:tr>
      <w:tr w14:paraId="3613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30BE5F99">
            <w:pPr>
              <w:keepNext w:val="0"/>
              <w:keepLines w:val="0"/>
              <w:widowControl/>
              <w:suppressLineNumbers w:val="0"/>
              <w:jc w:val="center"/>
              <w:textAlignment w:val="center"/>
              <w:rPr>
                <w:rFonts w:ascii="宋体" w:hAnsi="宋体"/>
                <w:sz w:val="24"/>
                <w:vertAlign w:val="baseline"/>
              </w:rPr>
            </w:pPr>
            <w:r>
              <w:rPr>
                <w:rFonts w:hint="eastAsia" w:ascii="等线" w:hAnsi="等线" w:eastAsia="等线" w:cs="等线"/>
                <w:i w:val="0"/>
                <w:iCs w:val="0"/>
                <w:color w:val="000000"/>
                <w:kern w:val="0"/>
                <w:sz w:val="22"/>
                <w:szCs w:val="22"/>
                <w:u w:val="none"/>
                <w:lang w:val="en-US" w:eastAsia="zh-CN" w:bidi="ar"/>
              </w:rPr>
              <w:t>一次性使用无菌乳胶导尿管1</w:t>
            </w:r>
          </w:p>
        </w:tc>
        <w:tc>
          <w:tcPr>
            <w:tcW w:w="4261" w:type="dxa"/>
            <w:vAlign w:val="center"/>
          </w:tcPr>
          <w:p w14:paraId="09F9C158">
            <w:pPr>
              <w:keepNext w:val="0"/>
              <w:keepLines w:val="0"/>
              <w:widowControl/>
              <w:suppressLineNumbers w:val="0"/>
              <w:jc w:val="left"/>
              <w:textAlignment w:val="center"/>
              <w:rPr>
                <w:rFonts w:ascii="宋体" w:hAnsi="宋体"/>
                <w:sz w:val="24"/>
                <w:vertAlign w:val="baseline"/>
              </w:rPr>
            </w:pPr>
            <w:r>
              <w:rPr>
                <w:rFonts w:hint="eastAsia" w:ascii="等线" w:hAnsi="等线" w:eastAsia="等线" w:cs="等线"/>
                <w:i w:val="0"/>
                <w:iCs w:val="0"/>
                <w:color w:val="000000"/>
                <w:kern w:val="0"/>
                <w:sz w:val="22"/>
                <w:szCs w:val="22"/>
                <w:u w:val="none"/>
                <w:lang w:val="en-US" w:eastAsia="zh-CN" w:bidi="ar"/>
              </w:rPr>
              <w:t>按中包装提供样品（双腔14Fr、三腔18Fr，不少于10根）、说明书</w:t>
            </w:r>
          </w:p>
        </w:tc>
      </w:tr>
      <w:tr w14:paraId="4ECD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48C8EEDB">
            <w:pPr>
              <w:keepNext w:val="0"/>
              <w:keepLines w:val="0"/>
              <w:widowControl/>
              <w:suppressLineNumbers w:val="0"/>
              <w:jc w:val="center"/>
              <w:textAlignment w:val="center"/>
              <w:rPr>
                <w:rFonts w:ascii="宋体" w:hAnsi="宋体"/>
                <w:sz w:val="24"/>
                <w:vertAlign w:val="baseline"/>
              </w:rPr>
            </w:pPr>
            <w:r>
              <w:rPr>
                <w:rFonts w:hint="eastAsia" w:ascii="等线" w:hAnsi="等线" w:eastAsia="等线" w:cs="等线"/>
                <w:i w:val="0"/>
                <w:iCs w:val="0"/>
                <w:color w:val="000000"/>
                <w:kern w:val="0"/>
                <w:sz w:val="22"/>
                <w:szCs w:val="22"/>
                <w:u w:val="none"/>
                <w:lang w:val="en-US" w:eastAsia="zh-CN" w:bidi="ar"/>
              </w:rPr>
              <w:t>一次性使用无菌乳胶导尿管2</w:t>
            </w:r>
          </w:p>
        </w:tc>
        <w:tc>
          <w:tcPr>
            <w:tcW w:w="4261" w:type="dxa"/>
            <w:vAlign w:val="center"/>
          </w:tcPr>
          <w:p w14:paraId="15555336">
            <w:pPr>
              <w:keepNext w:val="0"/>
              <w:keepLines w:val="0"/>
              <w:widowControl/>
              <w:suppressLineNumbers w:val="0"/>
              <w:jc w:val="left"/>
              <w:textAlignment w:val="center"/>
              <w:rPr>
                <w:rFonts w:ascii="宋体" w:hAnsi="宋体"/>
                <w:sz w:val="24"/>
                <w:vertAlign w:val="baseline"/>
              </w:rPr>
            </w:pPr>
            <w:r>
              <w:rPr>
                <w:rStyle w:val="35"/>
                <w:lang w:val="en-US" w:eastAsia="zh-CN" w:bidi="ar"/>
              </w:rPr>
              <w:t>按中包装提供样品</w:t>
            </w:r>
            <w:r>
              <w:rPr>
                <w:rFonts w:hint="eastAsia" w:ascii="等线" w:hAnsi="等线" w:eastAsia="等线" w:cs="等线"/>
                <w:i w:val="0"/>
                <w:iCs w:val="0"/>
                <w:color w:val="000000"/>
                <w:kern w:val="0"/>
                <w:sz w:val="22"/>
                <w:szCs w:val="22"/>
                <w:u w:val="none"/>
                <w:lang w:val="en-US" w:eastAsia="zh-CN" w:bidi="ar"/>
              </w:rPr>
              <w:t>（双腔16Fr，不少于10根）</w:t>
            </w:r>
            <w:r>
              <w:rPr>
                <w:rStyle w:val="35"/>
                <w:lang w:val="en-US" w:eastAsia="zh-CN" w:bidi="ar"/>
              </w:rPr>
              <w:t>、说明书</w:t>
            </w:r>
          </w:p>
        </w:tc>
      </w:tr>
      <w:tr w14:paraId="2534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528CB2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2"/>
                <w:szCs w:val="22"/>
                <w:u w:val="none"/>
                <w:lang w:val="en-US" w:eastAsia="zh-CN" w:bidi="ar"/>
              </w:rPr>
              <w:t>一次性使用无菌硅胶导尿管</w:t>
            </w:r>
          </w:p>
        </w:tc>
        <w:tc>
          <w:tcPr>
            <w:tcW w:w="4261" w:type="dxa"/>
            <w:vAlign w:val="center"/>
          </w:tcPr>
          <w:p w14:paraId="3578C5C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2"/>
                <w:szCs w:val="22"/>
                <w:u w:val="none"/>
                <w:lang w:val="en-US" w:eastAsia="zh-CN" w:bidi="ar"/>
              </w:rPr>
              <w:t>按中包装提供样品（双腔16Fr、三腔22Fr，不少于10根）、说明书</w:t>
            </w:r>
          </w:p>
        </w:tc>
      </w:tr>
      <w:tr w14:paraId="62DE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5DA2B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2"/>
                <w:szCs w:val="22"/>
                <w:u w:val="none"/>
                <w:lang w:val="en-US" w:eastAsia="zh-CN" w:bidi="ar"/>
              </w:rPr>
              <w:t>压力蒸汽灭菌包内化学指示卡</w:t>
            </w:r>
          </w:p>
        </w:tc>
        <w:tc>
          <w:tcPr>
            <w:tcW w:w="4261" w:type="dxa"/>
            <w:vAlign w:val="center"/>
          </w:tcPr>
          <w:p w14:paraId="41415B2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2"/>
                <w:szCs w:val="22"/>
                <w:u w:val="none"/>
                <w:lang w:val="en-US" w:eastAsia="zh-CN" w:bidi="ar"/>
              </w:rPr>
              <w:t>样品1盒</w:t>
            </w:r>
          </w:p>
        </w:tc>
      </w:tr>
      <w:tr w14:paraId="0ADA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7F825FB1">
            <w:pPr>
              <w:keepNext w:val="0"/>
              <w:keepLines w:val="0"/>
              <w:widowControl/>
              <w:suppressLineNumbers w:val="0"/>
              <w:jc w:val="center"/>
              <w:textAlignment w:val="center"/>
              <w:rPr>
                <w:rFonts w:hint="eastAsia" w:ascii="等线" w:hAnsi="等线" w:eastAsia="等线" w:cs="等线"/>
                <w:i w:val="0"/>
                <w:iCs w:val="0"/>
                <w:color w:val="000000"/>
                <w:kern w:val="2"/>
                <w:sz w:val="22"/>
                <w:szCs w:val="22"/>
                <w:u w:val="none"/>
                <w:lang w:val="en-US" w:eastAsia="zh-CN" w:bidi="ar-SA"/>
              </w:rPr>
            </w:pPr>
            <w:r>
              <w:rPr>
                <w:rFonts w:hint="eastAsia" w:ascii="等线" w:hAnsi="等线" w:eastAsia="等线" w:cs="等线"/>
                <w:i w:val="0"/>
                <w:iCs w:val="0"/>
                <w:color w:val="000000"/>
                <w:kern w:val="0"/>
                <w:sz w:val="22"/>
                <w:szCs w:val="22"/>
                <w:u w:val="none"/>
                <w:lang w:val="en-US" w:eastAsia="zh-CN" w:bidi="ar"/>
              </w:rPr>
              <w:t>一次性使用口腔护理包</w:t>
            </w:r>
          </w:p>
        </w:tc>
        <w:tc>
          <w:tcPr>
            <w:tcW w:w="4261" w:type="dxa"/>
            <w:shd w:val="clear" w:color="auto" w:fill="auto"/>
            <w:vAlign w:val="bottom"/>
          </w:tcPr>
          <w:p w14:paraId="0ED2D127">
            <w:pPr>
              <w:keepNext w:val="0"/>
              <w:keepLines w:val="0"/>
              <w:widowControl/>
              <w:suppressLineNumbers w:val="0"/>
              <w:jc w:val="left"/>
              <w:textAlignment w:val="bottom"/>
              <w:rPr>
                <w:rFonts w:hint="eastAsia" w:ascii="等线" w:hAnsi="等线" w:eastAsia="等线" w:cs="等线"/>
                <w:i w:val="0"/>
                <w:iCs w:val="0"/>
                <w:color w:val="000000"/>
                <w:kern w:val="2"/>
                <w:sz w:val="22"/>
                <w:szCs w:val="22"/>
                <w:u w:val="none"/>
                <w:lang w:val="en-US" w:eastAsia="zh-CN" w:bidi="ar-SA"/>
              </w:rPr>
            </w:pPr>
            <w:r>
              <w:rPr>
                <w:rFonts w:hint="eastAsia" w:ascii="等线" w:hAnsi="等线" w:eastAsia="等线" w:cs="等线"/>
                <w:i w:val="0"/>
                <w:iCs w:val="0"/>
                <w:color w:val="000000"/>
                <w:kern w:val="0"/>
                <w:sz w:val="22"/>
                <w:szCs w:val="22"/>
                <w:u w:val="none"/>
                <w:lang w:val="en-US" w:eastAsia="zh-CN" w:bidi="ar"/>
              </w:rPr>
              <w:t>提供样品5个。</w:t>
            </w:r>
          </w:p>
        </w:tc>
      </w:tr>
    </w:tbl>
    <w:p w14:paraId="770DA7BB">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5D4124D6">
      <w:pPr>
        <w:pStyle w:val="15"/>
        <w:spacing w:line="360" w:lineRule="auto"/>
        <w:ind w:left="480" w:firstLine="0" w:firstLineChars="0"/>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default" w:ascii="Calibri" w:hAnsi="Calibri" w:eastAsia="宋体"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default" w:ascii="Calibri" w:hAnsi="Calibri" w:eastAsia="宋体" w:cs="Times New Roman"/>
          <w:kern w:val="0"/>
          <w:sz w:val="24"/>
          <w:szCs w:val="24"/>
          <w:lang w:val="en-US" w:eastAsia="zh-CN" w:bidi="ar-SA"/>
        </w:rPr>
        <w:t>4</w:t>
      </w:r>
      <w:r>
        <w:rPr>
          <w:rFonts w:hint="eastAsia" w:ascii="Calibri" w:hAnsi="Calibri" w:eastAsia="宋体" w:cs="Times New Roman"/>
          <w:kern w:val="0"/>
          <w:sz w:val="24"/>
          <w:szCs w:val="24"/>
          <w:lang w:val="en-US" w:eastAsia="zh-CN" w:bidi="ar-SA"/>
        </w:rPr>
        <w:t>月1</w:t>
      </w:r>
      <w:r>
        <w:rPr>
          <w:rFonts w:hint="default" w:ascii="Calibri" w:hAnsi="Calibri" w:eastAsia="宋体" w:cs="Times New Roman"/>
          <w:kern w:val="0"/>
          <w:sz w:val="24"/>
          <w:szCs w:val="24"/>
          <w:lang w:val="en-US" w:eastAsia="zh-CN" w:bidi="ar-SA"/>
        </w:rPr>
        <w:t>1</w:t>
      </w:r>
      <w:r>
        <w:rPr>
          <w:rFonts w:hint="eastAsia" w:ascii="Calibri" w:hAnsi="Calibri" w:eastAsia="宋体" w:cs="Times New Roman"/>
          <w:kern w:val="0"/>
          <w:sz w:val="24"/>
          <w:szCs w:val="24"/>
          <w:lang w:val="en-US" w:eastAsia="zh-CN" w:bidi="ar-SA"/>
        </w:rPr>
        <w:t>日17:00前</w:t>
      </w:r>
    </w:p>
    <w:p w14:paraId="3A3A8A0B">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13826672"/>
    <w:rsid w:val="2C8F15FC"/>
    <w:rsid w:val="32F028E2"/>
    <w:rsid w:val="3B575546"/>
    <w:rsid w:val="4F751EA3"/>
    <w:rsid w:val="5EB27394"/>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宋体" w:hAnsi="宋体" w:eastAsia="宋体" w:cs="宋体"/>
      <w:color w:val="000000"/>
      <w:sz w:val="22"/>
      <w:szCs w:val="22"/>
      <w:u w:val="none"/>
    </w:rPr>
  </w:style>
  <w:style w:type="character" w:customStyle="1" w:styleId="34">
    <w:name w:val="font21"/>
    <w:basedOn w:val="12"/>
    <w:qFormat/>
    <w:uiPriority w:val="0"/>
    <w:rPr>
      <w:rFonts w:hint="eastAsia" w:ascii="宋体" w:hAnsi="宋体" w:eastAsia="宋体" w:cs="宋体"/>
      <w:color w:val="000000"/>
      <w:sz w:val="22"/>
      <w:szCs w:val="22"/>
      <w:u w:val="none"/>
    </w:rPr>
  </w:style>
  <w:style w:type="character" w:customStyle="1" w:styleId="35">
    <w:name w:val="font01"/>
    <w:basedOn w:val="12"/>
    <w:qFormat/>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22</Pages>
  <Words>1342</Words>
  <Characters>1573</Characters>
  <Lines>44</Lines>
  <Paragraphs>12</Paragraphs>
  <TotalTime>10</TotalTime>
  <ScaleCrop>false</ScaleCrop>
  <LinksUpToDate>false</LinksUpToDate>
  <CharactersWithSpaces>1585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2025-03-31T12:17:25Z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D7774A7AA9C94EF5901CF3CC90143550_12</vt:lpwstr>
  </property>
  <property fmtid="{D5CDD505-2E9C-101B-9397-08002B2CF9AE}" pid="4" name="KSOTemplateDocerSaveRecord">
    <vt:lpwstr>eyJoZGlkIjoiYmFhNjQ3ZjE5OTg5YjFmZDJjMzg4ZmEwMjY2YzEzZWIiLCJ1c2VySWQiOiIxMjUyMjMxNzQwIn0=</vt:lpwstr>
  </property>
</Properties>
</file>