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体外诊断试剂及医用耗材一批</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12</w:t>
      </w:r>
    </w:p>
    <w:p w14:paraId="7857CA8B">
      <w:pPr>
        <w:spacing w:before="312" w:beforeLines="100" w:line="240" w:lineRule="atLeast"/>
        <w:ind w:right="-108" w:firstLine="2240" w:firstLineChars="700"/>
        <w:jc w:val="left"/>
        <w:rPr>
          <w:rFonts w:hint="default" w:ascii="黑体" w:hAnsi="黑体" w:eastAsia="黑体"/>
          <w:sz w:val="32"/>
          <w:szCs w:val="32"/>
          <w:lang w:val="en-US" w:eastAsia="zh-CN"/>
        </w:rPr>
      </w:pP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7</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ZJYYHCZB-2025012</w:t>
      </w:r>
      <w:bookmarkStart w:id="1" w:name="_GoBack"/>
      <w:bookmarkEnd w:id="1"/>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1</w:t>
            </w:r>
          </w:p>
        </w:tc>
        <w:tc>
          <w:tcPr>
            <w:tcW w:w="2625" w:type="dxa"/>
            <w:shd w:val="clear" w:color="auto" w:fill="auto"/>
            <w:vAlign w:val="center"/>
          </w:tcPr>
          <w:p w14:paraId="38E1168A">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肌酐检测试剂盒</w:t>
            </w:r>
          </w:p>
        </w:tc>
        <w:tc>
          <w:tcPr>
            <w:tcW w:w="5640" w:type="dxa"/>
            <w:shd w:val="clear" w:color="auto" w:fill="auto"/>
            <w:vAlign w:val="center"/>
          </w:tcPr>
          <w:p w14:paraId="0DEFA562">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用于体外定量测定人体内血清、血浆和尿液中的肌酐浓度，可与罗氏全自动生化免疫分析仪（型号：701）配合使用。</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2</w:t>
            </w:r>
          </w:p>
        </w:tc>
        <w:tc>
          <w:tcPr>
            <w:tcW w:w="2625" w:type="dxa"/>
            <w:shd w:val="clear" w:color="auto" w:fill="auto"/>
            <w:vAlign w:val="center"/>
          </w:tcPr>
          <w:p w14:paraId="21269D29">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高密度脂蛋白胆固醇检测试剂盒</w:t>
            </w:r>
          </w:p>
        </w:tc>
        <w:tc>
          <w:tcPr>
            <w:tcW w:w="5640" w:type="dxa"/>
            <w:shd w:val="clear" w:color="auto" w:fill="auto"/>
            <w:vAlign w:val="center"/>
          </w:tcPr>
          <w:p w14:paraId="01247761">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用于体外定量测定人体内血清和血浆中的高密度脂蛋白胆固醇，可与罗氏全自动生化免疫分析仪（型号：701）配合使用。</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3</w:t>
            </w:r>
          </w:p>
        </w:tc>
        <w:tc>
          <w:tcPr>
            <w:tcW w:w="2625" w:type="dxa"/>
            <w:shd w:val="clear" w:color="auto" w:fill="auto"/>
            <w:vAlign w:val="center"/>
          </w:tcPr>
          <w:p w14:paraId="6C6D24B7">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低密度脂蛋白胆固醇检测试剂盒</w:t>
            </w:r>
          </w:p>
        </w:tc>
        <w:tc>
          <w:tcPr>
            <w:tcW w:w="5640" w:type="dxa"/>
            <w:shd w:val="clear" w:color="auto" w:fill="auto"/>
            <w:vAlign w:val="center"/>
          </w:tcPr>
          <w:p w14:paraId="31C0E131">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用于体外定量测定人体内血清和血浆中的低密度脂蛋白胆固醇，可与罗氏全自动生化免疫分析仪（型号：701）配合使用。</w:t>
            </w:r>
          </w:p>
        </w:tc>
      </w:tr>
      <w:tr w14:paraId="32DE5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032F21CD">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4</w:t>
            </w:r>
          </w:p>
        </w:tc>
        <w:tc>
          <w:tcPr>
            <w:tcW w:w="2625" w:type="dxa"/>
            <w:shd w:val="clear" w:color="auto" w:fill="auto"/>
            <w:vAlign w:val="center"/>
          </w:tcPr>
          <w:p w14:paraId="2A511264">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肝素结合蛋白测定试剂盒</w:t>
            </w:r>
          </w:p>
        </w:tc>
        <w:tc>
          <w:tcPr>
            <w:tcW w:w="5640" w:type="dxa"/>
            <w:shd w:val="clear" w:color="auto" w:fill="auto"/>
            <w:vAlign w:val="center"/>
          </w:tcPr>
          <w:p w14:paraId="488D1F29">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用于体外定量测定人血浆和脑脊液中的肝素结合蛋白（HBP）的浓度。</w:t>
            </w:r>
          </w:p>
        </w:tc>
      </w:tr>
      <w:tr w14:paraId="68D78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29B09AB">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5</w:t>
            </w:r>
          </w:p>
        </w:tc>
        <w:tc>
          <w:tcPr>
            <w:tcW w:w="2625" w:type="dxa"/>
            <w:shd w:val="clear" w:color="auto" w:fill="auto"/>
            <w:vAlign w:val="center"/>
          </w:tcPr>
          <w:p w14:paraId="6949C380">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降钙素原测定试剂盒</w:t>
            </w:r>
          </w:p>
        </w:tc>
        <w:tc>
          <w:tcPr>
            <w:tcW w:w="5640" w:type="dxa"/>
            <w:shd w:val="clear" w:color="auto" w:fill="auto"/>
            <w:vAlign w:val="center"/>
          </w:tcPr>
          <w:p w14:paraId="628FC2DA">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用于体外定量测定人血清和血浆中的降钙素原（PCT）的浓度。</w:t>
            </w:r>
          </w:p>
        </w:tc>
      </w:tr>
      <w:tr w14:paraId="1AEA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0CCA833B">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6</w:t>
            </w:r>
          </w:p>
        </w:tc>
        <w:tc>
          <w:tcPr>
            <w:tcW w:w="2625" w:type="dxa"/>
            <w:shd w:val="clear" w:color="auto" w:fill="auto"/>
            <w:vAlign w:val="center"/>
          </w:tcPr>
          <w:p w14:paraId="301F47BD">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HPV核酸检测</w:t>
            </w:r>
          </w:p>
        </w:tc>
        <w:tc>
          <w:tcPr>
            <w:tcW w:w="5640" w:type="dxa"/>
            <w:shd w:val="clear" w:color="auto" w:fill="auto"/>
            <w:vAlign w:val="center"/>
          </w:tcPr>
          <w:p w14:paraId="25D184B4">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用于HPV病毒的核酸检测，要求主流品牌，对hpv病毒全分型，至少型别≥21；</w:t>
            </w:r>
            <w:r>
              <w:rPr>
                <w:rFonts w:hint="eastAsia" w:asciiTheme="minorEastAsia" w:hAnsiTheme="minorEastAsia" w:eastAsiaTheme="minorEastAsia" w:cstheme="minorEastAsia"/>
                <w:b w:val="0"/>
                <w:bCs w:val="0"/>
                <w:color w:val="auto"/>
                <w:kern w:val="0"/>
                <w:sz w:val="24"/>
                <w:szCs w:val="24"/>
                <w:shd w:val="clear" w:color="auto" w:fill="FFFFFF"/>
                <w:lang w:val="en-US" w:eastAsia="zh-CN"/>
              </w:rPr>
              <w:br w:type="textWrapping"/>
            </w:r>
            <w:r>
              <w:rPr>
                <w:rFonts w:hint="eastAsia" w:asciiTheme="minorEastAsia" w:hAnsiTheme="minorEastAsia" w:eastAsiaTheme="minorEastAsia" w:cstheme="minorEastAsia"/>
                <w:b w:val="0"/>
                <w:bCs w:val="0"/>
                <w:color w:val="auto"/>
                <w:kern w:val="0"/>
                <w:sz w:val="24"/>
                <w:szCs w:val="24"/>
                <w:shd w:val="clear" w:color="auto" w:fill="FFFFFF"/>
                <w:lang w:val="en-US" w:eastAsia="zh-CN"/>
              </w:rPr>
              <w:t>最低检出线≤1000copies；方法学为PCR溶解曲线法。适配现有pcr扩增仪</w:t>
            </w:r>
          </w:p>
        </w:tc>
      </w:tr>
      <w:tr w14:paraId="5C5DE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89DDD9">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7</w:t>
            </w:r>
          </w:p>
        </w:tc>
        <w:tc>
          <w:tcPr>
            <w:tcW w:w="2625" w:type="dxa"/>
            <w:shd w:val="clear" w:color="auto" w:fill="auto"/>
            <w:vAlign w:val="center"/>
          </w:tcPr>
          <w:p w14:paraId="39E0F0AC">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隔离透声膜</w:t>
            </w:r>
          </w:p>
        </w:tc>
        <w:tc>
          <w:tcPr>
            <w:tcW w:w="5640" w:type="dxa"/>
            <w:shd w:val="clear" w:color="auto" w:fill="auto"/>
            <w:vAlign w:val="center"/>
          </w:tcPr>
          <w:p w14:paraId="060F7C1B">
            <w:pPr>
              <w:widowControl/>
              <w:jc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color w:val="auto"/>
                <w:kern w:val="0"/>
                <w:sz w:val="24"/>
                <w:szCs w:val="24"/>
                <w:shd w:val="clear" w:color="auto" w:fill="FFFFFF"/>
                <w:lang w:val="en-US" w:eastAsia="zh-CN"/>
              </w:rPr>
              <w:t>与超声探头配套，安装于治疗头透声窗上，防止患者间的交叉感染，一次性使用，无菌。</w:t>
            </w:r>
          </w:p>
        </w:tc>
      </w:tr>
    </w:tbl>
    <w:p w14:paraId="6EA19246">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8</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numPr>
          <w:ilvl w:val="0"/>
          <w:numId w:val="1"/>
        </w:numPr>
        <w:spacing w:line="360" w:lineRule="auto"/>
        <w:rPr>
          <w:rFonts w:ascii="宋体" w:hAnsi="宋体"/>
          <w:sz w:val="24"/>
        </w:rPr>
      </w:pPr>
      <w:r>
        <w:rPr>
          <w:rFonts w:hint="eastAsia" w:ascii="宋体" w:hAnsi="宋体"/>
          <w:sz w:val="24"/>
          <w:lang w:val="en-US" w:eastAsia="zh-CN"/>
        </w:rPr>
        <w:t>样品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C4D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82D72E7">
            <w:pPr>
              <w:numPr>
                <w:ilvl w:val="0"/>
                <w:numId w:val="0"/>
              </w:numPr>
              <w:spacing w:line="360" w:lineRule="auto"/>
              <w:rPr>
                <w:rFonts w:hint="default" w:ascii="宋体" w:hAnsi="宋体" w:eastAsia="宋体"/>
                <w:sz w:val="24"/>
                <w:vertAlign w:val="baseline"/>
                <w:lang w:val="en-US" w:eastAsia="zh-CN"/>
              </w:rPr>
            </w:pPr>
            <w:r>
              <w:rPr>
                <w:rFonts w:hint="eastAsia" w:ascii="宋体" w:hAnsi="宋体"/>
                <w:sz w:val="24"/>
                <w:vertAlign w:val="baseline"/>
                <w:lang w:val="en-US" w:eastAsia="zh-CN"/>
              </w:rPr>
              <w:t>需提供样品产品</w:t>
            </w:r>
          </w:p>
        </w:tc>
        <w:tc>
          <w:tcPr>
            <w:tcW w:w="4261" w:type="dxa"/>
          </w:tcPr>
          <w:p w14:paraId="00E80E1D">
            <w:pPr>
              <w:numPr>
                <w:ilvl w:val="0"/>
                <w:numId w:val="0"/>
              </w:numPr>
              <w:spacing w:line="360" w:lineRule="auto"/>
              <w:rPr>
                <w:rFonts w:hint="eastAsia" w:ascii="宋体" w:hAnsi="宋体" w:eastAsia="宋体"/>
                <w:sz w:val="24"/>
                <w:vertAlign w:val="baseline"/>
                <w:lang w:val="en-US" w:eastAsia="zh-CN"/>
              </w:rPr>
            </w:pPr>
            <w:r>
              <w:rPr>
                <w:rFonts w:hint="eastAsia" w:ascii="宋体" w:hAnsi="宋体"/>
                <w:sz w:val="24"/>
                <w:vertAlign w:val="baseline"/>
                <w:lang w:val="en-US" w:eastAsia="zh-CN"/>
              </w:rPr>
              <w:t>数量</w:t>
            </w:r>
          </w:p>
        </w:tc>
      </w:tr>
      <w:tr w14:paraId="147C3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1D3E88B5">
            <w:pPr>
              <w:keepNext w:val="0"/>
              <w:keepLines w:val="0"/>
              <w:widowControl/>
              <w:suppressLineNumbers w:val="0"/>
              <w:jc w:val="left"/>
              <w:textAlignment w:val="center"/>
              <w:rPr>
                <w:rFonts w:ascii="宋体" w:hAnsi="宋体"/>
                <w:sz w:val="24"/>
                <w:vertAlign w:val="baseline"/>
              </w:rPr>
            </w:pPr>
            <w:r>
              <w:rPr>
                <w:rFonts w:hint="eastAsia" w:ascii="宋体" w:hAnsi="宋体" w:cs="宋体"/>
                <w:i w:val="0"/>
                <w:iCs w:val="0"/>
                <w:color w:val="000000"/>
                <w:kern w:val="0"/>
                <w:sz w:val="24"/>
                <w:szCs w:val="24"/>
                <w:u w:val="none"/>
                <w:lang w:val="en-US" w:eastAsia="zh-CN" w:bidi="ar"/>
              </w:rPr>
              <w:t>隔离透声膜</w:t>
            </w:r>
          </w:p>
        </w:tc>
        <w:tc>
          <w:tcPr>
            <w:tcW w:w="4261" w:type="dxa"/>
            <w:vAlign w:val="center"/>
          </w:tcPr>
          <w:p w14:paraId="50413BA2">
            <w:pPr>
              <w:keepNext w:val="0"/>
              <w:keepLines w:val="0"/>
              <w:widowControl/>
              <w:suppressLineNumbers w:val="0"/>
              <w:jc w:val="left"/>
              <w:textAlignment w:val="center"/>
              <w:rPr>
                <w:rFonts w:hint="default" w:ascii="宋体" w:hAnsi="宋体"/>
                <w:sz w:val="24"/>
                <w:vertAlign w:val="baseline"/>
                <w:lang w:val="en-US"/>
              </w:rPr>
            </w:pPr>
            <w:r>
              <w:rPr>
                <w:rFonts w:hint="eastAsia" w:ascii="宋体" w:hAnsi="宋体" w:cs="宋体"/>
                <w:i w:val="0"/>
                <w:iCs w:val="0"/>
                <w:color w:val="000000"/>
                <w:kern w:val="0"/>
                <w:sz w:val="24"/>
                <w:szCs w:val="24"/>
                <w:u w:val="none"/>
                <w:lang w:val="en-US" w:eastAsia="zh-CN" w:bidi="ar"/>
              </w:rPr>
              <w:t>50-100</w:t>
            </w:r>
          </w:p>
        </w:tc>
      </w:tr>
    </w:tbl>
    <w:p w14:paraId="2EC2795F">
      <w:pPr>
        <w:numPr>
          <w:ilvl w:val="0"/>
          <w:numId w:val="0"/>
        </w:numPr>
        <w:spacing w:line="360" w:lineRule="auto"/>
        <w:ind w:leftChars="0"/>
        <w:rPr>
          <w:rFonts w:ascii="宋体" w:hAnsi="宋体"/>
          <w:sz w:val="24"/>
        </w:rPr>
      </w:pPr>
    </w:p>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48FC5F7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w:t>
      </w:r>
      <w:r>
        <w:rPr>
          <w:rFonts w:hint="eastAsia"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年</w:t>
      </w:r>
      <w:r>
        <w:rPr>
          <w:rFonts w:hint="eastAsia" w:cs="Times New Roman"/>
          <w:kern w:val="0"/>
          <w:sz w:val="24"/>
          <w:szCs w:val="24"/>
          <w:lang w:val="en-US" w:eastAsia="zh-CN" w:bidi="ar-SA"/>
        </w:rPr>
        <w:t>8</w:t>
      </w:r>
      <w:r>
        <w:rPr>
          <w:rFonts w:hint="eastAsia" w:ascii="Calibri" w:hAnsi="Calibri" w:eastAsia="宋体" w:cs="Times New Roman"/>
          <w:kern w:val="0"/>
          <w:sz w:val="24"/>
          <w:szCs w:val="24"/>
          <w:lang w:val="en-US" w:eastAsia="zh-CN" w:bidi="ar-SA"/>
        </w:rPr>
        <w:t>月</w:t>
      </w:r>
      <w:r>
        <w:rPr>
          <w:rFonts w:hint="eastAsia"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日17:00前</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CFA2123"/>
    <w:rsid w:val="242C0C5F"/>
    <w:rsid w:val="2C8F15FC"/>
    <w:rsid w:val="2F087BBE"/>
    <w:rsid w:val="32F028E2"/>
    <w:rsid w:val="3B575546"/>
    <w:rsid w:val="4F751EA3"/>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940</Words>
  <Characters>1057</Characters>
  <Lines>44</Lines>
  <Paragraphs>12</Paragraphs>
  <TotalTime>0</TotalTime>
  <ScaleCrop>false</ScaleCrop>
  <LinksUpToDate>false</LinksUpToDate>
  <CharactersWithSpaces>1061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2025-07-30T09:22:04Z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