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jc w:val="left"/>
        <w:rPr>
          <w:rFonts w:ascii="宋体" w:hAnsi="宋体"/>
          <w:spacing w:val="40"/>
          <w:sz w:val="28"/>
          <w:szCs w:val="52"/>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pPr>
              <w:pStyle w:val="13"/>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622" w:type="dxa"/>
            <w:vAlign w:val="center"/>
          </w:tcPr>
          <w:p>
            <w:pPr>
              <w:pStyle w:val="13"/>
              <w:spacing w:before="75" w:beforeAutospacing="0" w:after="75" w:afterAutospacing="0"/>
              <w:jc w:val="center"/>
              <w:rPr>
                <w:rFonts w:hint="eastAsia" w:eastAsia="宋体" w:cs="Times New Roman"/>
                <w:b/>
                <w:spacing w:val="40"/>
                <w:kern w:val="2"/>
                <w:szCs w:val="52"/>
                <w:lang w:val="en-US" w:eastAsia="zh-CN"/>
              </w:rPr>
            </w:pPr>
            <w:r>
              <w:rPr>
                <w:rFonts w:hint="eastAsia" w:cs="Times New Roman"/>
                <w:b/>
                <w:spacing w:val="40"/>
                <w:kern w:val="2"/>
                <w:szCs w:val="52"/>
                <w:lang w:val="en-US" w:eastAsia="zh-CN"/>
              </w:rPr>
              <w:t>浙江医院</w:t>
            </w:r>
            <w:r>
              <w:rPr>
                <w:rFonts w:hint="eastAsia" w:eastAsia="宋体" w:cs="Times New Roman"/>
                <w:b/>
                <w:spacing w:val="40"/>
                <w:kern w:val="2"/>
                <w:szCs w:val="52"/>
                <w:lang w:val="en-US" w:eastAsia="zh-CN"/>
              </w:rPr>
              <w:t>两院区液氧及气体供应服务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公司名称</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报价（万元）</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联系人</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手机号码</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邮箱</w:t>
            </w:r>
          </w:p>
        </w:tc>
        <w:tc>
          <w:tcPr>
            <w:tcW w:w="5622" w:type="dxa"/>
            <w:vAlign w:val="center"/>
          </w:tcPr>
          <w:p>
            <w:pPr>
              <w:ind w:right="-110"/>
              <w:jc w:val="center"/>
              <w:rPr>
                <w:rFonts w:ascii="宋体" w:hAnsi="宋体"/>
                <w:spacing w:val="40"/>
                <w:sz w:val="28"/>
                <w:szCs w:val="52"/>
              </w:rPr>
            </w:pPr>
          </w:p>
        </w:tc>
      </w:tr>
    </w:tbl>
    <w:p>
      <w:pPr>
        <w:ind w:right="-110"/>
        <w:jc w:val="left"/>
        <w:rPr>
          <w:rFonts w:ascii="宋体" w:hAnsi="宋体"/>
          <w:spacing w:val="40"/>
          <w:sz w:val="28"/>
          <w:szCs w:val="28"/>
        </w:rPr>
      </w:pPr>
      <w:r>
        <w:rPr>
          <w:rFonts w:ascii="宋体" w:hAnsi="宋体"/>
          <w:spacing w:val="40"/>
          <w:sz w:val="28"/>
          <w:szCs w:val="28"/>
        </w:rPr>
        <w:br w:type="page"/>
      </w:r>
    </w:p>
    <w:p>
      <w:pPr>
        <w:widowControl/>
        <w:jc w:val="left"/>
        <w:rPr>
          <w:rFonts w:ascii="宋体" w:hAnsi="宋体"/>
          <w:sz w:val="28"/>
          <w:szCs w:val="28"/>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p>
    <w:p>
      <w:pPr>
        <w:pStyle w:val="3"/>
        <w:tabs>
          <w:tab w:val="left" w:pos="420"/>
        </w:tabs>
        <w:jc w:val="center"/>
        <w:rPr>
          <w:sz w:val="32"/>
          <w:szCs w:val="32"/>
        </w:rPr>
      </w:pPr>
      <w:r>
        <w:rPr>
          <w:rFonts w:hint="eastAsia"/>
          <w:sz w:val="32"/>
          <w:szCs w:val="32"/>
        </w:rPr>
        <w:t>采购需求</w:t>
      </w:r>
    </w:p>
    <w:p>
      <w:pPr>
        <w:rPr>
          <w:rFonts w:ascii="仿宋" w:hAnsi="仿宋" w:eastAsia="仿宋"/>
          <w:b/>
          <w:sz w:val="32"/>
          <w:szCs w:val="32"/>
        </w:rPr>
      </w:pPr>
      <w:r>
        <w:rPr>
          <w:rFonts w:hint="eastAsia" w:ascii="仿宋" w:hAnsi="仿宋" w:eastAsia="仿宋"/>
          <w:sz w:val="32"/>
          <w:szCs w:val="32"/>
        </w:rPr>
        <w:t>需求清单</w:t>
      </w:r>
      <w:r>
        <w:rPr>
          <w:rFonts w:hint="eastAsia" w:ascii="仿宋" w:hAnsi="仿宋" w:eastAsia="仿宋"/>
          <w:b/>
          <w:sz w:val="32"/>
          <w:szCs w:val="32"/>
        </w:rPr>
        <w:t>：</w:t>
      </w:r>
    </w:p>
    <w:p>
      <w:pPr>
        <w:rPr>
          <w:rFonts w:ascii="仿宋" w:hAnsi="仿宋" w:eastAsia="仿宋"/>
          <w:b/>
          <w:sz w:val="32"/>
          <w:szCs w:val="32"/>
        </w:rPr>
      </w:pPr>
    </w:p>
    <w:tbl>
      <w:tblPr>
        <w:tblStyle w:val="15"/>
        <w:tblpPr w:leftFromText="180" w:rightFromText="180" w:vertAnchor="page" w:horzAnchor="page" w:tblpX="945" w:tblpY="3215"/>
        <w:tblW w:w="5082" w:type="dxa"/>
        <w:tblInd w:w="0" w:type="dxa"/>
        <w:tblLayout w:type="autofit"/>
        <w:tblCellMar>
          <w:top w:w="0" w:type="dxa"/>
          <w:left w:w="108" w:type="dxa"/>
          <w:bottom w:w="0" w:type="dxa"/>
          <w:right w:w="108" w:type="dxa"/>
        </w:tblCellMar>
      </w:tblPr>
      <w:tblGrid>
        <w:gridCol w:w="806"/>
        <w:gridCol w:w="2220"/>
        <w:gridCol w:w="806"/>
        <w:gridCol w:w="806"/>
        <w:gridCol w:w="222"/>
        <w:gridCol w:w="222"/>
      </w:tblGrid>
      <w:tr>
        <w:tblPrEx>
          <w:tblCellMar>
            <w:top w:w="0" w:type="dxa"/>
            <w:left w:w="108" w:type="dxa"/>
            <w:bottom w:w="0" w:type="dxa"/>
            <w:right w:w="108" w:type="dxa"/>
          </w:tblCellMar>
        </w:tblPrEx>
        <w:trPr>
          <w:trHeight w:val="624" w:hRule="atLeast"/>
        </w:trPr>
        <w:tc>
          <w:tcPr>
            <w:tcW w:w="5082" w:type="dxa"/>
            <w:gridSpan w:val="6"/>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pPr>
              <w:widowControl/>
              <w:jc w:val="center"/>
              <w:rPr>
                <w:rFonts w:ascii="仿宋" w:hAnsi="仿宋" w:eastAsia="仿宋" w:cs="宋体"/>
                <w:b/>
                <w:bCs/>
                <w:color w:val="000000"/>
                <w:kern w:val="0"/>
                <w:sz w:val="40"/>
                <w:szCs w:val="40"/>
              </w:rPr>
            </w:pPr>
            <w:r>
              <w:rPr>
                <w:rFonts w:hint="eastAsia" w:ascii="仿宋" w:hAnsi="仿宋" w:eastAsia="仿宋" w:cs="宋体"/>
                <w:b/>
                <w:bCs/>
                <w:color w:val="000000"/>
                <w:kern w:val="0"/>
                <w:sz w:val="40"/>
                <w:szCs w:val="40"/>
              </w:rPr>
              <w:t>两院区液氧及气体清单</w:t>
            </w:r>
          </w:p>
        </w:tc>
      </w:tr>
      <w:tr>
        <w:tblPrEx>
          <w:tblCellMar>
            <w:top w:w="0" w:type="dxa"/>
            <w:left w:w="108" w:type="dxa"/>
            <w:bottom w:w="0" w:type="dxa"/>
            <w:right w:w="108" w:type="dxa"/>
          </w:tblCellMar>
        </w:tblPrEx>
        <w:trPr>
          <w:trHeight w:val="624" w:hRule="atLeast"/>
        </w:trPr>
        <w:tc>
          <w:tcPr>
            <w:tcW w:w="5082" w:type="dxa"/>
            <w:gridSpan w:val="6"/>
            <w:vMerge w:val="continue"/>
            <w:tcBorders>
              <w:top w:val="single" w:color="auto" w:sz="4" w:space="0"/>
              <w:left w:val="single" w:color="auto" w:sz="4" w:space="0"/>
              <w:bottom w:val="single" w:color="000000" w:sz="4" w:space="0"/>
              <w:right w:val="single" w:color="000000" w:sz="4" w:space="0"/>
            </w:tcBorders>
            <w:vAlign w:val="center"/>
          </w:tcPr>
          <w:p>
            <w:pPr>
              <w:widowControl/>
              <w:jc w:val="left"/>
              <w:rPr>
                <w:rFonts w:ascii="仿宋" w:hAnsi="仿宋" w:eastAsia="仿宋" w:cs="宋体"/>
                <w:b/>
                <w:bCs/>
                <w:color w:val="000000"/>
                <w:kern w:val="0"/>
                <w:sz w:val="40"/>
                <w:szCs w:val="40"/>
              </w:rPr>
            </w:pP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序号</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货物名称</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数量</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单位</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医用液氧</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2250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立方</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40L瓶装氧气</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230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40L瓶装氮气</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380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4</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40L瓶装CO2</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600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5</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10L瓶装氧气</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200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6</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4L瓶装氧气</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5400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7</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3L瓶装氧气</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170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8</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2L瓶装氧气</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60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瓶</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80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9</w:t>
            </w:r>
          </w:p>
        </w:tc>
        <w:tc>
          <w:tcPr>
            <w:tcW w:w="222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液氮</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5000</w:t>
            </w: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升</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222"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bl>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autoSpaceDE w:val="0"/>
        <w:autoSpaceDN w:val="0"/>
        <w:spacing w:line="427" w:lineRule="atLeast"/>
        <w:ind w:right="1540"/>
        <w:rPr>
          <w:rFonts w:hint="eastAsia" w:ascii="仿宋" w:hAnsi="仿宋" w:eastAsia="仿宋"/>
          <w:sz w:val="28"/>
          <w:szCs w:val="28"/>
        </w:rPr>
      </w:pPr>
    </w:p>
    <w:p>
      <w:pPr>
        <w:autoSpaceDE w:val="0"/>
        <w:autoSpaceDN w:val="0"/>
        <w:spacing w:line="427" w:lineRule="atLeast"/>
        <w:ind w:right="1540"/>
        <w:rPr>
          <w:rFonts w:hint="default" w:ascii="仿宋" w:hAnsi="仿宋" w:eastAsia="仿宋"/>
          <w:sz w:val="28"/>
          <w:szCs w:val="28"/>
          <w:lang w:val="en-US" w:eastAsia="zh-CN"/>
        </w:rPr>
      </w:pPr>
      <w:r>
        <w:rPr>
          <w:rFonts w:hint="eastAsia" w:ascii="仿宋" w:hAnsi="仿宋" w:eastAsia="仿宋"/>
          <w:sz w:val="28"/>
          <w:szCs w:val="28"/>
          <w:lang w:val="en-US" w:eastAsia="zh-CN"/>
        </w:rPr>
        <w:t>服务期两年，预算335万元</w:t>
      </w:r>
    </w:p>
    <w:p>
      <w:pPr>
        <w:autoSpaceDE w:val="0"/>
        <w:autoSpaceDN w:val="0"/>
        <w:spacing w:line="427" w:lineRule="atLeast"/>
        <w:ind w:right="1540"/>
        <w:rPr>
          <w:rFonts w:ascii="仿宋" w:hAnsi="仿宋" w:eastAsia="仿宋"/>
          <w:sz w:val="28"/>
          <w:szCs w:val="28"/>
        </w:rPr>
      </w:pPr>
      <w:r>
        <w:rPr>
          <w:rFonts w:hint="eastAsia" w:ascii="仿宋" w:hAnsi="仿宋" w:eastAsia="仿宋"/>
          <w:sz w:val="28"/>
          <w:szCs w:val="28"/>
        </w:rPr>
        <w:t>服务要求：</w:t>
      </w:r>
    </w:p>
    <w:p>
      <w:pPr>
        <w:autoSpaceDE w:val="0"/>
        <w:autoSpaceDN w:val="0"/>
        <w:spacing w:line="427" w:lineRule="atLeast"/>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乙方的气体质量必须符合甲方的要求，满足国际</w:t>
      </w:r>
      <w:r>
        <w:rPr>
          <w:rFonts w:hint="eastAsia" w:ascii="仿宋" w:hAnsi="仿宋" w:eastAsia="仿宋"/>
          <w:sz w:val="28"/>
          <w:szCs w:val="28"/>
        </w:rPr>
        <w:t>、国家或行业标准的要求，并提供相应的品质证明文件，提供适当的包装和标识，确保气体在运输和使用过程中的识别和安全，如果</w:t>
      </w:r>
      <w:r>
        <w:rPr>
          <w:rFonts w:ascii="仿宋" w:hAnsi="仿宋" w:eastAsia="仿宋"/>
          <w:sz w:val="28"/>
          <w:szCs w:val="28"/>
        </w:rPr>
        <w:t>不符合甲方的各项要求，甲方有权不支付款项，也</w:t>
      </w:r>
      <w:r>
        <w:rPr>
          <w:rFonts w:hint="eastAsia" w:ascii="仿宋" w:hAnsi="仿宋" w:eastAsia="仿宋"/>
          <w:sz w:val="28"/>
          <w:szCs w:val="28"/>
        </w:rPr>
        <w:t>可</w:t>
      </w:r>
      <w:r>
        <w:rPr>
          <w:rFonts w:ascii="仿宋" w:hAnsi="仿宋" w:eastAsia="仿宋"/>
          <w:sz w:val="28"/>
          <w:szCs w:val="28"/>
        </w:rPr>
        <w:t>酌情扣款，并同时发出整改通知书，乙方在经过二次整改后，仍未达到甲方的要求，甲方有权提前终止合同，并由乙方承担由此产生的一切损失。</w:t>
      </w:r>
    </w:p>
    <w:p>
      <w:pPr>
        <w:autoSpaceDE w:val="0"/>
        <w:autoSpaceDN w:val="0"/>
        <w:spacing w:line="420" w:lineRule="atLeast"/>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日常维护：液氧站设备，汇流排设备：低温贮罐、汽化器、调压装置(包括汇流排的调压装置)管道、管道法兰附件等的维修报修、保养、年度检查，每月对于所有设备进行专项检查，维护，保养，每年进行年度专职检查，均要提供日常维护保养记录表单等数据，低温储罐三年一次的年检费由甲方自己承担。(作为检查依据)。</w:t>
      </w:r>
    </w:p>
    <w:p>
      <w:pPr>
        <w:autoSpaceDE w:val="0"/>
        <w:autoSpaceDN w:val="0"/>
        <w:spacing w:line="420" w:lineRule="atLeast"/>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需定期更换或检查液氧罐体配件如爆破片、易损配件法兰件等，且在我方备用至少一套，以应对突发情况</w:t>
      </w:r>
      <w:r>
        <w:rPr>
          <w:rFonts w:hint="eastAsia" w:ascii="仿宋" w:hAnsi="仿宋" w:eastAsia="仿宋"/>
          <w:sz w:val="28"/>
          <w:szCs w:val="28"/>
        </w:rPr>
        <w:t>。</w:t>
      </w:r>
    </w:p>
    <w:p>
      <w:pPr>
        <w:autoSpaceDE w:val="0"/>
        <w:autoSpaceDN w:val="0"/>
        <w:spacing w:line="240" w:lineRule="atLeast"/>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、每个罐体安全阀、压力表及管路安全阀压力表等的到期校验等。</w:t>
      </w:r>
    </w:p>
    <w:p>
      <w:pPr>
        <w:autoSpaceDE w:val="0"/>
        <w:autoSpaceDN w:val="0"/>
        <w:spacing w:line="420" w:lineRule="atLeast"/>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每次补充液氧时， 乙方专业的设备操作人员每月对氧气站的低温储罐、蒸发器、调压装置、管道设备等进行例行的检查、维护、保养，并填写检查、维护、保养记录。</w:t>
      </w:r>
    </w:p>
    <w:p>
      <w:pPr>
        <w:autoSpaceDE w:val="0"/>
        <w:autoSpaceDN w:val="0"/>
        <w:spacing w:line="420" w:lineRule="atLeast"/>
        <w:rPr>
          <w:rFonts w:ascii="仿宋" w:hAnsi="仿宋" w:eastAsia="仿宋"/>
          <w:sz w:val="28"/>
          <w:szCs w:val="28"/>
        </w:rPr>
      </w:pPr>
      <w:r>
        <w:rPr>
          <w:rFonts w:hint="eastAsia" w:ascii="仿宋" w:hAnsi="仿宋" w:eastAsia="仿宋"/>
          <w:sz w:val="28"/>
          <w:szCs w:val="28"/>
        </w:rPr>
        <w:t>6.</w:t>
      </w:r>
      <w:r>
        <w:rPr>
          <w:rFonts w:ascii="仿宋" w:hAnsi="仿宋" w:eastAsia="仿宋"/>
          <w:sz w:val="28"/>
          <w:szCs w:val="28"/>
        </w:rPr>
        <w:t>每月乙方工程技术人员对氧气站的储罐、管道、蒸发器、调压装置设备进行专职的检查、维护、保养，并填写检查、维护、保养记录。</w:t>
      </w:r>
    </w:p>
    <w:p>
      <w:pPr>
        <w:spacing w:line="14" w:lineRule="exact"/>
        <w:rPr>
          <w:rFonts w:ascii="仿宋" w:hAnsi="仿宋" w:eastAsia="仿宋"/>
          <w:sz w:val="28"/>
          <w:szCs w:val="28"/>
        </w:rPr>
      </w:pPr>
    </w:p>
    <w:p>
      <w:pPr>
        <w:spacing w:line="14" w:lineRule="exact"/>
        <w:rPr>
          <w:rFonts w:ascii="仿宋" w:hAnsi="仿宋" w:eastAsia="仿宋"/>
          <w:sz w:val="28"/>
          <w:szCs w:val="28"/>
        </w:rPr>
      </w:pPr>
    </w:p>
    <w:p>
      <w:pPr>
        <w:autoSpaceDE w:val="0"/>
        <w:autoSpaceDN w:val="0"/>
        <w:spacing w:before="20" w:line="420" w:lineRule="atLeast"/>
      </w:pPr>
      <w:r>
        <w:rPr>
          <w:rFonts w:hint="eastAsia" w:ascii="仿宋" w:hAnsi="仿宋" w:eastAsia="仿宋"/>
          <w:sz w:val="28"/>
          <w:szCs w:val="28"/>
        </w:rPr>
        <w:t>7</w:t>
      </w:r>
      <w:r>
        <w:rPr>
          <w:rFonts w:ascii="仿宋" w:hAnsi="仿宋" w:eastAsia="仿宋"/>
          <w:sz w:val="28"/>
          <w:szCs w:val="28"/>
        </w:rPr>
        <w:t>、每年乙方组织一次由工程师为组长的专业检查组，对氧气站的储罐、管道、蒸发器、调压装置设备进行年度专职的检查，并将检查结果报医院的对口管理部门，同时报省级或杭州市质量技术监督局。</w:t>
      </w:r>
    </w:p>
    <w:p>
      <w:pPr>
        <w:autoSpaceDE w:val="0"/>
        <w:autoSpaceDN w:val="0"/>
        <w:spacing w:before="20" w:line="420" w:lineRule="atLeast"/>
        <w:rPr>
          <w:sz w:val="18"/>
        </w:rPr>
      </w:pPr>
      <w:r>
        <w:rPr>
          <w:rFonts w:ascii="仿宋" w:hAnsi="仿宋" w:eastAsia="仿宋"/>
          <w:sz w:val="28"/>
          <w:szCs w:val="28"/>
        </w:rPr>
        <w:t>8、乙炔的检测及排放方案：乙方定期每半年检测一次液氧的乙炔含量，当检测到乙炔含量超过国家标准规定的0.1x10-6时，即对液氧贮罐里的液氧进行排放和补充新的液氧。检测人员在现场检测到乙炔含量超过标准规定值时，即将检测结果报告公司，公司在检测结果出来后的12小时内，组织新的医用液氧和调集空的液氧槽车到达现场进行液氧贮罐内的液氧排放(排至空的液氧槽车内，运至安全地方处理)和新的医用液氧补充。并对贮罐进行置换，直至贮罐内的乙炔含量符合国家标准要求。排放补充操作按低温贮罐操作规程执行。</w:t>
      </w:r>
    </w:p>
    <w:p>
      <w:pPr>
        <w:autoSpaceDE w:val="0"/>
        <w:autoSpaceDN w:val="0"/>
        <w:spacing w:before="180" w:line="200" w:lineRule="atLeast"/>
        <w:rPr>
          <w:rFonts w:ascii="仿宋" w:hAnsi="仿宋" w:eastAsia="仿宋"/>
          <w:sz w:val="28"/>
          <w:szCs w:val="28"/>
        </w:rPr>
      </w:pPr>
      <w:r>
        <w:rPr>
          <w:rFonts w:ascii="仿宋" w:hAnsi="仿宋" w:eastAsia="仿宋"/>
          <w:sz w:val="28"/>
          <w:szCs w:val="28"/>
        </w:rPr>
        <w:t>9、其它技术类指导以及配合医院完成其他工作事宜，如应急预案演练等。</w:t>
      </w: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pPr>
        <w:widowControl/>
        <w:jc w:val="left"/>
        <w:rPr>
          <w:b/>
          <w:sz w:val="28"/>
          <w:szCs w:val="28"/>
        </w:rPr>
      </w:pPr>
    </w:p>
    <w:p>
      <w:pPr>
        <w:widowControl/>
        <w:jc w:val="left"/>
        <w:rPr>
          <w:b/>
          <w:sz w:val="28"/>
          <w:szCs w:val="28"/>
        </w:rPr>
      </w:pPr>
    </w:p>
    <w:p>
      <w:pPr>
        <w:widowControl/>
        <w:jc w:val="left"/>
        <w:rPr>
          <w:b/>
          <w:sz w:val="28"/>
          <w:szCs w:val="28"/>
        </w:rPr>
      </w:pPr>
      <w:r>
        <w:rPr>
          <w:b/>
          <w:sz w:val="28"/>
          <w:szCs w:val="28"/>
        </w:rPr>
        <w:br w:type="page"/>
      </w:r>
    </w:p>
    <w:p>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kern w:val="0"/>
          <w:sz w:val="24"/>
        </w:rPr>
      </w:pPr>
    </w:p>
    <w:p>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pPr>
        <w:spacing w:line="360" w:lineRule="auto"/>
        <w:rPr>
          <w:rFonts w:ascii="宋体" w:hAnsi="宋体"/>
          <w:sz w:val="24"/>
        </w:rPr>
      </w:pPr>
    </w:p>
    <w:p>
      <w:pPr>
        <w:spacing w:line="360" w:lineRule="auto"/>
        <w:rPr>
          <w:rFonts w:ascii="宋体" w:hAnsi="宋体"/>
          <w:sz w:val="24"/>
        </w:rPr>
      </w:pPr>
    </w:p>
    <w:p>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pPr>
        <w:widowControl/>
        <w:spacing w:line="360" w:lineRule="auto"/>
        <w:jc w:val="left"/>
        <w:rPr>
          <w:rFonts w:ascii="宋体" w:hAnsi="宋体"/>
          <w:sz w:val="24"/>
        </w:rPr>
      </w:pPr>
    </w:p>
    <w:p>
      <w:pPr>
        <w:widowControl/>
        <w:spacing w:line="360" w:lineRule="auto"/>
        <w:jc w:val="left"/>
        <w:rPr>
          <w:rFonts w:ascii="宋体" w:hAnsi="宋体"/>
          <w:sz w:val="24"/>
        </w:rPr>
      </w:pPr>
    </w:p>
    <w:p>
      <w:pPr>
        <w:widowControl/>
        <w:spacing w:line="360" w:lineRule="auto"/>
        <w:jc w:val="left"/>
        <w:rPr>
          <w:rFonts w:ascii="宋体" w:hAnsi="宋体" w:cs="Arial"/>
          <w:kern w:val="0"/>
          <w:sz w:val="24"/>
        </w:rPr>
      </w:pPr>
      <w:r>
        <w:rPr>
          <w:rFonts w:ascii="宋体" w:hAnsi="宋体"/>
          <w:sz w:val="24"/>
        </w:rPr>
        <w:t>年    月    日</w:t>
      </w:r>
    </w:p>
    <w:p>
      <w:pPr>
        <w:snapToGrid w:val="0"/>
        <w:spacing w:before="120" w:beforeLines="50" w:after="50"/>
        <w:rPr>
          <w:rFonts w:ascii="宋体" w:hAnsi="宋体"/>
          <w:b/>
          <w:sz w:val="30"/>
          <w:szCs w:val="30"/>
        </w:rPr>
      </w:pPr>
      <w:r>
        <w:rPr>
          <w:rFonts w:ascii="宋体" w:hAnsi="宋体"/>
          <w:sz w:val="28"/>
          <w:szCs w:val="28"/>
        </w:rPr>
        <w:br w:type="page"/>
      </w:r>
    </w:p>
    <w:p>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hint="eastAsia" w:ascii="宋体" w:hAnsi="宋体"/>
          <w:color w:val="000000"/>
          <w:sz w:val="28"/>
          <w:szCs w:val="28"/>
        </w:rPr>
        <w:t>此页提供经营许可证</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6"/>
        <w:gridCol w:w="3113"/>
        <w:gridCol w:w="3026"/>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pPr>
              <w:ind w:right="-110"/>
              <w:jc w:val="center"/>
              <w:rPr>
                <w:rFonts w:ascii="宋体" w:hAnsi="宋体"/>
                <w:spacing w:val="40"/>
                <w:sz w:val="28"/>
                <w:szCs w:val="52"/>
              </w:rPr>
            </w:pPr>
            <w:r>
              <w:rPr>
                <w:rFonts w:ascii="宋体" w:hAnsi="宋体"/>
                <w:spacing w:val="40"/>
                <w:sz w:val="28"/>
                <w:szCs w:val="52"/>
              </w:rPr>
              <w:t>近三年浙江省内类似业绩</w:t>
            </w:r>
          </w:p>
        </w:tc>
        <w:tc>
          <w:tcPr>
            <w:tcW w:w="3208" w:type="dxa"/>
            <w:vAlign w:val="center"/>
          </w:tcPr>
          <w:p>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pPr>
              <w:ind w:right="-110"/>
              <w:jc w:val="center"/>
              <w:rPr>
                <w:rFonts w:ascii="宋体" w:hAnsi="宋体"/>
                <w:spacing w:val="40"/>
                <w:sz w:val="28"/>
                <w:szCs w:val="52"/>
              </w:rPr>
            </w:pPr>
            <w:r>
              <w:rPr>
                <w:rFonts w:ascii="宋体" w:hAnsi="宋体"/>
                <w:spacing w:val="40"/>
                <w:sz w:val="28"/>
                <w:szCs w:val="52"/>
              </w:rPr>
              <w:t>采购日期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bookmarkStart w:id="0" w:name="_GoBack"/>
            <w:bookmarkEnd w:id="0"/>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bl>
    <w:p>
      <w:pPr>
        <w:widowControl/>
        <w:jc w:val="left"/>
        <w:rPr>
          <w:rFonts w:ascii="宋体" w:hAnsi="宋体"/>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pPr>
        <w:widowControl/>
        <w:jc w:val="left"/>
        <w:rPr>
          <w:rFonts w:hint="eastAsia" w:ascii="宋体" w:hAnsi="宋体"/>
          <w:b/>
          <w:color w:val="000000"/>
          <w:sz w:val="28"/>
          <w:szCs w:val="28"/>
        </w:rPr>
      </w:pPr>
      <w:r>
        <w:rPr>
          <w:rFonts w:hint="eastAsia" w:ascii="宋体" w:hAnsi="宋体"/>
          <w:b/>
          <w:color w:val="000000"/>
          <w:sz w:val="28"/>
          <w:szCs w:val="28"/>
        </w:rPr>
        <w:t>合同复印件：</w:t>
      </w: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pStyle w:val="14"/>
        <w:ind w:left="0" w:leftChars="0" w:firstLine="0" w:firstLineChars="0"/>
        <w:rPr>
          <w:rFonts w:hint="eastAsia" w:ascii="宋体" w:hAnsi="宋体"/>
          <w:b/>
          <w:color w:val="000000"/>
          <w:sz w:val="28"/>
          <w:szCs w:val="28"/>
          <w:lang w:val="en-US" w:eastAsia="zh-CN"/>
        </w:rPr>
      </w:pPr>
      <w:r>
        <w:rPr>
          <w:rFonts w:hint="eastAsia" w:ascii="宋体" w:hAnsi="宋体"/>
          <w:b/>
          <w:color w:val="000000"/>
          <w:sz w:val="28"/>
          <w:szCs w:val="28"/>
          <w:lang w:val="en-US" w:eastAsia="zh-CN"/>
        </w:rPr>
        <w:t>与项目相关资质证书：</w:t>
      </w: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default" w:ascii="宋体" w:hAnsi="宋体" w:eastAsia="宋体"/>
          <w:b/>
          <w:color w:val="000000"/>
          <w:sz w:val="28"/>
          <w:szCs w:val="28"/>
          <w:lang w:val="en-US" w:eastAsia="zh-CN"/>
        </w:rPr>
      </w:pPr>
      <w:r>
        <w:rPr>
          <w:rFonts w:hint="eastAsia" w:ascii="宋体" w:hAnsi="宋体"/>
          <w:b/>
          <w:color w:val="000000"/>
          <w:sz w:val="28"/>
          <w:szCs w:val="28"/>
          <w:lang w:val="en-US" w:eastAsia="zh-CN"/>
        </w:rPr>
        <w:t>报价明细：</w:t>
      </w: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6</w:t>
    </w:r>
    <w:r>
      <w:fldChar w:fldCharType="end"/>
    </w:r>
  </w:p>
  <w:p>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end"/>
    </w:r>
  </w:p>
  <w:p>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028D0654"/>
    <w:rsid w:val="10E65DFE"/>
    <w:rsid w:val="130B2FC9"/>
    <w:rsid w:val="16EC3324"/>
    <w:rsid w:val="17150080"/>
    <w:rsid w:val="1C2D5B40"/>
    <w:rsid w:val="268C3D52"/>
    <w:rsid w:val="289B0919"/>
    <w:rsid w:val="2C4B5AD5"/>
    <w:rsid w:val="2F865C08"/>
    <w:rsid w:val="320B7A33"/>
    <w:rsid w:val="4012098A"/>
    <w:rsid w:val="4D7E2A43"/>
    <w:rsid w:val="51C36F40"/>
    <w:rsid w:val="556F163B"/>
    <w:rsid w:val="639D04BD"/>
    <w:rsid w:val="69750B97"/>
    <w:rsid w:val="6A8C4F91"/>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2"/>
    <w:next w:val="1"/>
    <w:link w:val="28"/>
    <w:autoRedefine/>
    <w:qFormat/>
    <w:uiPriority w:val="0"/>
    <w:pPr>
      <w:keepNext/>
      <w:keepLines/>
      <w:spacing w:before="260" w:after="260" w:line="416" w:lineRule="auto"/>
      <w:outlineLvl w:val="1"/>
    </w:pPr>
    <w:rPr>
      <w:rFonts w:ascii="Arial" w:hAnsi="Arial" w:eastAsia="黑体"/>
      <w:bCs/>
      <w:sz w:val="32"/>
      <w:szCs w:val="32"/>
    </w:rPr>
  </w:style>
  <w:style w:type="paragraph" w:styleId="4">
    <w:name w:val="heading 3"/>
    <w:basedOn w:val="1"/>
    <w:next w:val="1"/>
    <w:autoRedefine/>
    <w:qFormat/>
    <w:uiPriority w:val="9"/>
    <w:pPr>
      <w:keepNext/>
      <w:keepLines/>
      <w:tabs>
        <w:tab w:val="left" w:pos="0"/>
      </w:tabs>
      <w:ind w:firstLine="0" w:firstLineChars="0"/>
      <w:outlineLvl w:val="2"/>
    </w:pPr>
    <w:rPr>
      <w:b/>
      <w:bCs/>
      <w:szCs w:val="24"/>
    </w:rPr>
  </w:style>
  <w:style w:type="paragraph" w:styleId="5">
    <w:name w:val="heading 4"/>
    <w:basedOn w:val="1"/>
    <w:next w:val="1"/>
    <w:autoRedefine/>
    <w:qFormat/>
    <w:uiPriority w:val="9"/>
    <w:pPr>
      <w:keepNext/>
      <w:keepLines/>
      <w:tabs>
        <w:tab w:val="left" w:pos="0"/>
      </w:tabs>
      <w:ind w:firstLine="0" w:firstLineChars="0"/>
      <w:outlineLvl w:val="3"/>
    </w:pPr>
    <w:rPr>
      <w:b/>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1"/>
    <w:link w:val="26"/>
    <w:autoRedefine/>
    <w:qFormat/>
    <w:uiPriority w:val="0"/>
    <w:pPr>
      <w:ind w:firstLine="420" w:firstLineChars="200"/>
    </w:pPr>
    <w:rPr>
      <w:szCs w:val="20"/>
    </w:rPr>
  </w:style>
  <w:style w:type="paragraph" w:styleId="7">
    <w:name w:val="Body Text"/>
    <w:basedOn w:val="1"/>
    <w:autoRedefine/>
    <w:semiHidden/>
    <w:unhideWhenUsed/>
    <w:qFormat/>
    <w:uiPriority w:val="99"/>
    <w:pPr>
      <w:spacing w:after="120"/>
    </w:pPr>
  </w:style>
  <w:style w:type="paragraph" w:styleId="8">
    <w:name w:val="Body Text Indent"/>
    <w:basedOn w:val="1"/>
    <w:link w:val="29"/>
    <w:autoRedefine/>
    <w:semiHidden/>
    <w:unhideWhenUsed/>
    <w:qFormat/>
    <w:uiPriority w:val="99"/>
    <w:pPr>
      <w:spacing w:after="120"/>
      <w:ind w:left="420" w:leftChars="200"/>
    </w:pPr>
    <w:rPr>
      <w:rFonts w:asciiTheme="minorHAnsi" w:hAnsiTheme="minorHAnsi" w:eastAsiaTheme="minorEastAsia" w:cstheme="minorBidi"/>
    </w:rPr>
  </w:style>
  <w:style w:type="paragraph" w:styleId="9">
    <w:name w:val="Date"/>
    <w:basedOn w:val="1"/>
    <w:next w:val="1"/>
    <w:link w:val="25"/>
    <w:autoRedefine/>
    <w:qFormat/>
    <w:uiPriority w:val="0"/>
    <w:rPr>
      <w:sz w:val="24"/>
      <w:szCs w:val="20"/>
    </w:rPr>
  </w:style>
  <w:style w:type="paragraph" w:styleId="10">
    <w:name w:val="Balloon Text"/>
    <w:basedOn w:val="1"/>
    <w:link w:val="22"/>
    <w:autoRedefine/>
    <w:semiHidden/>
    <w:unhideWhenUsed/>
    <w:qFormat/>
    <w:uiPriority w:val="99"/>
    <w:rPr>
      <w:sz w:val="18"/>
      <w:szCs w:val="18"/>
    </w:rPr>
  </w:style>
  <w:style w:type="paragraph" w:styleId="11">
    <w:name w:val="footer"/>
    <w:basedOn w:val="1"/>
    <w:link w:val="21"/>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w:basedOn w:val="7"/>
    <w:autoRedefine/>
    <w:unhideWhenUsed/>
    <w:qFormat/>
    <w:uiPriority w:val="0"/>
    <w:pPr>
      <w:ind w:firstLine="1441"/>
    </w:pPr>
  </w:style>
  <w:style w:type="table" w:styleId="16">
    <w:name w:val="Table Grid"/>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page number"/>
    <w:basedOn w:val="17"/>
    <w:autoRedefine/>
    <w:qFormat/>
    <w:uiPriority w:val="0"/>
  </w:style>
  <w:style w:type="character" w:customStyle="1" w:styleId="20">
    <w:name w:val="页眉 Char"/>
    <w:basedOn w:val="17"/>
    <w:link w:val="12"/>
    <w:autoRedefine/>
    <w:qFormat/>
    <w:uiPriority w:val="99"/>
    <w:rPr>
      <w:sz w:val="18"/>
      <w:szCs w:val="18"/>
    </w:rPr>
  </w:style>
  <w:style w:type="character" w:customStyle="1" w:styleId="21">
    <w:name w:val="页脚 Char"/>
    <w:basedOn w:val="17"/>
    <w:link w:val="11"/>
    <w:autoRedefine/>
    <w:qFormat/>
    <w:uiPriority w:val="0"/>
    <w:rPr>
      <w:sz w:val="18"/>
      <w:szCs w:val="18"/>
    </w:rPr>
  </w:style>
  <w:style w:type="character" w:customStyle="1" w:styleId="22">
    <w:name w:val="批注框文本 Char"/>
    <w:basedOn w:val="17"/>
    <w:link w:val="10"/>
    <w:autoRedefine/>
    <w:semiHidden/>
    <w:qFormat/>
    <w:uiPriority w:val="99"/>
    <w:rPr>
      <w:rFonts w:ascii="Times New Roman" w:hAnsi="Times New Roman" w:eastAsia="宋体" w:cs="Times New Roman"/>
      <w:sz w:val="18"/>
      <w:szCs w:val="18"/>
    </w:rPr>
  </w:style>
  <w:style w:type="paragraph" w:styleId="23">
    <w:name w:val="List Paragraph"/>
    <w:basedOn w:val="1"/>
    <w:autoRedefine/>
    <w:qFormat/>
    <w:uiPriority w:val="34"/>
    <w:pPr>
      <w:ind w:firstLine="420" w:firstLineChars="200"/>
    </w:pPr>
  </w:style>
  <w:style w:type="paragraph" w:customStyle="1" w:styleId="24">
    <w:name w:val="彩色列表 - 强调文字颜色 11"/>
    <w:basedOn w:val="1"/>
    <w:autoRedefine/>
    <w:qFormat/>
    <w:uiPriority w:val="34"/>
    <w:pPr>
      <w:ind w:firstLine="420" w:firstLineChars="200"/>
    </w:pPr>
    <w:rPr>
      <w:rFonts w:ascii="Calibri" w:hAnsi="Calibri"/>
      <w:szCs w:val="22"/>
    </w:rPr>
  </w:style>
  <w:style w:type="character" w:customStyle="1" w:styleId="25">
    <w:name w:val="日期 Char"/>
    <w:basedOn w:val="17"/>
    <w:link w:val="9"/>
    <w:autoRedefine/>
    <w:qFormat/>
    <w:uiPriority w:val="0"/>
    <w:rPr>
      <w:rFonts w:ascii="Times New Roman" w:hAnsi="Times New Roman" w:eastAsia="宋体" w:cs="Times New Roman"/>
      <w:sz w:val="24"/>
      <w:szCs w:val="20"/>
    </w:rPr>
  </w:style>
  <w:style w:type="character" w:customStyle="1" w:styleId="26">
    <w:name w:val="正文缩进 Char"/>
    <w:link w:val="6"/>
    <w:autoRedefine/>
    <w:qFormat/>
    <w:uiPriority w:val="0"/>
    <w:rPr>
      <w:rFonts w:ascii="Times New Roman" w:hAnsi="Times New Roman" w:eastAsia="宋体" w:cs="Times New Roman"/>
      <w:szCs w:val="20"/>
    </w:rPr>
  </w:style>
  <w:style w:type="character" w:customStyle="1" w:styleId="27">
    <w:name w:val="15_0"/>
    <w:autoRedefine/>
    <w:qFormat/>
    <w:uiPriority w:val="0"/>
    <w:rPr>
      <w:rFonts w:hint="default" w:ascii="Times New Roman" w:hAnsi="Times New Roman" w:cs="Times New Roman"/>
      <w:color w:val="0000FF"/>
      <w:u w:val="single"/>
    </w:rPr>
  </w:style>
  <w:style w:type="character" w:customStyle="1" w:styleId="28">
    <w:name w:val="标题 2 Char"/>
    <w:basedOn w:val="17"/>
    <w:link w:val="3"/>
    <w:autoRedefine/>
    <w:qFormat/>
    <w:uiPriority w:val="0"/>
    <w:rPr>
      <w:rFonts w:ascii="Arial" w:hAnsi="Arial" w:eastAsia="黑体" w:cs="Times New Roman"/>
      <w:b/>
      <w:bCs/>
      <w:sz w:val="32"/>
      <w:szCs w:val="32"/>
    </w:rPr>
  </w:style>
  <w:style w:type="character" w:customStyle="1" w:styleId="29">
    <w:name w:val="正文文本缩进 Char"/>
    <w:basedOn w:val="17"/>
    <w:link w:val="8"/>
    <w:autoRedefine/>
    <w:semiHidden/>
    <w:qFormat/>
    <w:uiPriority w:val="99"/>
    <w:rPr>
      <w:kern w:val="2"/>
      <w:sz w:val="21"/>
      <w:szCs w:val="24"/>
    </w:rPr>
  </w:style>
  <w:style w:type="paragraph" w:customStyle="1" w:styleId="30">
    <w:name w:val="表格"/>
    <w:basedOn w:val="1"/>
    <w:autoRedefine/>
    <w:qFormat/>
    <w:uiPriority w:val="0"/>
    <w:pPr>
      <w:snapToGrid w:val="0"/>
      <w:spacing w:line="240" w:lineRule="auto"/>
      <w:ind w:firstLine="0" w:firstLineChars="0"/>
    </w:pPr>
  </w:style>
  <w:style w:type="paragraph" w:customStyle="1" w:styleId="31">
    <w:name w:val="正文2"/>
    <w:basedOn w:val="1"/>
    <w:autoRedefine/>
    <w:qFormat/>
    <w:uiPriority w:val="0"/>
    <w:pPr>
      <w:adjustRightInd w:val="0"/>
      <w:ind w:firstLine="480"/>
    </w:pPr>
    <w:rPr>
      <w:rFonts w:ascii="宋体" w:hAnsi="宋体" w:cs="宋体"/>
      <w:szCs w:val="24"/>
    </w:rPr>
  </w:style>
  <w:style w:type="paragraph" w:customStyle="1" w:styleId="32">
    <w:name w:val="Table Paragraph"/>
    <w:basedOn w:val="1"/>
    <w:autoRedefine/>
    <w:unhideWhenUsed/>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492</Words>
  <Characters>545</Characters>
  <Lines>67</Lines>
  <Paragraphs>19</Paragraphs>
  <TotalTime>0</TotalTime>
  <ScaleCrop>false</ScaleCrop>
  <LinksUpToDate>false</LinksUpToDate>
  <CharactersWithSpaces>587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菜菜</cp:lastModifiedBy>
  <dcterms:modified xsi:type="dcterms:W3CDTF">2025-08-13T08:21:29Z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7F0EA5990F2C47C1AA054576A7A92DA2_12</vt:lpwstr>
  </property>
  <property fmtid="{D5CDD505-2E9C-101B-9397-08002B2CF9AE}" pid="4" name="KSOTemplateDocerSaveRecord">
    <vt:lpwstr>eyJoZGlkIjoiNGM5MzdkNGE1ODFkNTBmMzRkY2Q4YmNkNDQ2MmFhNWUiLCJ1c2VySWQiOiIxMjExMDA5OTU3In0=</vt:lpwstr>
  </property>
</Properties>
</file>