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jc w:val="left"/>
        <w:rPr>
          <w:rFonts w:ascii="宋体" w:hAnsi="宋体"/>
          <w:spacing w:val="40"/>
          <w:sz w:val="28"/>
          <w:szCs w:val="52"/>
        </w:rPr>
      </w:pPr>
    </w:p>
    <w:tbl>
      <w:tblPr>
        <w:tblStyle w:val="16"/>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pPr>
              <w:pStyle w:val="13"/>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793" w:type="dxa"/>
            <w:vAlign w:val="center"/>
          </w:tcPr>
          <w:p>
            <w:pPr>
              <w:pStyle w:val="13"/>
              <w:spacing w:before="75" w:beforeAutospacing="0" w:after="75" w:afterAutospacing="0"/>
              <w:jc w:val="center"/>
              <w:rPr>
                <w:rFonts w:hint="eastAsia" w:cs="Times New Roman"/>
                <w:b/>
                <w:spacing w:val="40"/>
                <w:kern w:val="2"/>
                <w:sz w:val="28"/>
                <w:szCs w:val="52"/>
                <w:lang w:val="en-US" w:eastAsia="zh-CN"/>
              </w:rPr>
            </w:pPr>
            <w:r>
              <w:rPr>
                <w:rFonts w:hint="eastAsia" w:cs="Times New Roman"/>
                <w:b/>
                <w:spacing w:val="40"/>
                <w:kern w:val="2"/>
                <w:sz w:val="28"/>
                <w:szCs w:val="52"/>
                <w:lang w:val="en-US" w:eastAsia="zh-CN"/>
              </w:rPr>
              <w:t>浙江医院两院区净化系统维保服务</w:t>
            </w:r>
            <w:bookmarkStart w:id="0" w:name="_GoBack"/>
            <w:bookmarkEnd w:id="0"/>
          </w:p>
          <w:p>
            <w:pPr>
              <w:pStyle w:val="13"/>
              <w:spacing w:before="75" w:beforeAutospacing="0" w:after="75" w:afterAutospacing="0"/>
              <w:jc w:val="center"/>
              <w:rPr>
                <w:rFonts w:hint="eastAsia" w:eastAsia="宋体" w:cs="Times New Roman"/>
                <w:b/>
                <w:spacing w:val="40"/>
                <w:kern w:val="2"/>
                <w:szCs w:val="5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公司名称</w:t>
            </w:r>
          </w:p>
        </w:tc>
        <w:tc>
          <w:tcPr>
            <w:tcW w:w="579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79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报价（万元）</w:t>
            </w:r>
          </w:p>
        </w:tc>
        <w:tc>
          <w:tcPr>
            <w:tcW w:w="579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联系人</w:t>
            </w:r>
          </w:p>
        </w:tc>
        <w:tc>
          <w:tcPr>
            <w:tcW w:w="579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手机号码</w:t>
            </w:r>
          </w:p>
        </w:tc>
        <w:tc>
          <w:tcPr>
            <w:tcW w:w="579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pPr>
              <w:ind w:right="-110"/>
              <w:jc w:val="center"/>
              <w:rPr>
                <w:rFonts w:ascii="宋体" w:hAnsi="宋体"/>
                <w:spacing w:val="40"/>
                <w:sz w:val="28"/>
                <w:szCs w:val="52"/>
              </w:rPr>
            </w:pPr>
            <w:r>
              <w:rPr>
                <w:rFonts w:ascii="宋体" w:hAnsi="宋体"/>
                <w:spacing w:val="40"/>
                <w:sz w:val="28"/>
                <w:szCs w:val="52"/>
              </w:rPr>
              <w:t>邮箱</w:t>
            </w:r>
          </w:p>
        </w:tc>
        <w:tc>
          <w:tcPr>
            <w:tcW w:w="5793" w:type="dxa"/>
            <w:vAlign w:val="center"/>
          </w:tcPr>
          <w:p>
            <w:pPr>
              <w:ind w:right="-110"/>
              <w:jc w:val="center"/>
              <w:rPr>
                <w:rFonts w:ascii="宋体" w:hAnsi="宋体"/>
                <w:spacing w:val="40"/>
                <w:sz w:val="28"/>
                <w:szCs w:val="52"/>
              </w:rPr>
            </w:pPr>
          </w:p>
        </w:tc>
      </w:tr>
    </w:tbl>
    <w:p>
      <w:pPr>
        <w:ind w:right="-110"/>
        <w:jc w:val="left"/>
        <w:rPr>
          <w:rFonts w:ascii="宋体" w:hAnsi="宋体"/>
          <w:spacing w:val="40"/>
          <w:sz w:val="28"/>
          <w:szCs w:val="28"/>
        </w:rPr>
      </w:pPr>
      <w:r>
        <w:rPr>
          <w:rFonts w:ascii="宋体" w:hAnsi="宋体"/>
          <w:spacing w:val="40"/>
          <w:sz w:val="28"/>
          <w:szCs w:val="28"/>
        </w:rPr>
        <w:br w:type="page"/>
      </w:r>
    </w:p>
    <w:p>
      <w:pPr>
        <w:widowControl/>
        <w:jc w:val="left"/>
        <w:rPr>
          <w:rFonts w:ascii="宋体" w:hAnsi="宋体"/>
          <w:sz w:val="28"/>
          <w:szCs w:val="28"/>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p>
    <w:p>
      <w:pPr>
        <w:pStyle w:val="3"/>
        <w:tabs>
          <w:tab w:val="left" w:pos="420"/>
        </w:tabs>
        <w:jc w:val="center"/>
        <w:rPr>
          <w:sz w:val="32"/>
          <w:szCs w:val="32"/>
        </w:rPr>
      </w:pPr>
      <w:r>
        <w:rPr>
          <w:rFonts w:hint="eastAsia"/>
          <w:sz w:val="32"/>
          <w:szCs w:val="32"/>
        </w:rPr>
        <w:t>采购需求</w:t>
      </w:r>
    </w:p>
    <w:p>
      <w:pPr>
        <w:ind w:firstLine="422" w:firstLineChars="20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一、</w:t>
      </w:r>
      <w:r>
        <w:rPr>
          <w:rFonts w:hint="eastAsia" w:ascii="仿宋_GB2312" w:hAnsi="仿宋_GB2312" w:eastAsia="仿宋_GB2312" w:cs="仿宋_GB2312"/>
          <w:b/>
          <w:sz w:val="21"/>
          <w:szCs w:val="21"/>
        </w:rPr>
        <w:t>维保范围</w:t>
      </w:r>
    </w:p>
    <w:p>
      <w:pPr>
        <w:pStyle w:val="23"/>
        <w:numPr>
          <w:ilvl w:val="0"/>
          <w:numId w:val="0"/>
        </w:numPr>
        <w:spacing w:line="440" w:lineRule="exact"/>
        <w:ind w:leftChars="0" w:firstLine="422" w:firstLineChars="20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三墩院区</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住院部一层静配中心及其设备机房，共3台组合空调，总面积约300m²；</w:t>
      </w:r>
    </w:p>
    <w:p>
      <w:pPr>
        <w:spacing w:line="440" w:lineRule="exact"/>
        <w:ind w:left="630" w:leftChars="200" w:hanging="210" w:hangingChars="1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三层手术部（21间手术室，其中万级5间，包括1间正负压切换手术室；千级6间；百级8间），2间日间手术室；</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四层净化机房（该区域为手术室的所有净化设备）；</w:t>
      </w:r>
    </w:p>
    <w:p>
      <w:pPr>
        <w:spacing w:line="440" w:lineRule="exact"/>
        <w:ind w:firstLine="420" w:firstLineChars="200"/>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4.血液病房及设备机组（2间病房，及3台净化机组、1台新风机组）</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ICU，新生儿病房，PCR室，实验室等共5套组合空调系统形成的净化区域（总面积约800m²）。</w:t>
      </w:r>
    </w:p>
    <w:p>
      <w:pPr>
        <w:spacing w:line="440" w:lineRule="exact"/>
        <w:ind w:firstLine="420" w:firstLineChars="20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5.净化区域内配套辅助用房。</w:t>
      </w:r>
    </w:p>
    <w:p>
      <w:pPr>
        <w:spacing w:line="440" w:lineRule="exact"/>
        <w:ind w:left="42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灵隐院区</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手术室百级3间，万级1间</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静配中心及其设备机房，总面积300m²</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供应室及设备机房463m²</w:t>
      </w:r>
    </w:p>
    <w:p>
      <w:pPr>
        <w:spacing w:line="440" w:lineRule="exact"/>
        <w:ind w:firstLine="420" w:firstLineChars="20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4.净化区域内配套辅助用房。</w:t>
      </w:r>
    </w:p>
    <w:p>
      <w:pPr>
        <w:spacing w:line="440" w:lineRule="exact"/>
        <w:ind w:firstLine="422" w:firstLineChars="200"/>
        <w:rPr>
          <w:rFonts w:hint="default"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两院区要求驻点维保人员1名，应急处理相关事宜。</w:t>
      </w:r>
    </w:p>
    <w:p>
      <w:pPr>
        <w:spacing w:line="440" w:lineRule="exact"/>
        <w:ind w:firstLine="422" w:firstLineChars="20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二、维保工作主要内容及要求</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rPr>
        <w:t>维保人员</w:t>
      </w:r>
      <w:r>
        <w:rPr>
          <w:rFonts w:hint="eastAsia" w:ascii="仿宋_GB2312" w:hAnsi="仿宋_GB2312" w:eastAsia="仿宋_GB2312" w:cs="仿宋_GB2312"/>
          <w:b/>
          <w:bCs/>
          <w:sz w:val="21"/>
          <w:szCs w:val="21"/>
        </w:rPr>
        <w:t>每周</w:t>
      </w:r>
      <w:r>
        <w:rPr>
          <w:rFonts w:hint="eastAsia" w:ascii="仿宋_GB2312" w:hAnsi="仿宋_GB2312" w:eastAsia="仿宋_GB2312" w:cs="仿宋_GB2312"/>
          <w:sz w:val="21"/>
          <w:szCs w:val="21"/>
        </w:rPr>
        <w:t>对设备、设施开展检查、维护一次，记录设备的运行状况和重要运行参数。具体周期见</w:t>
      </w:r>
      <w:r>
        <w:rPr>
          <w:rFonts w:hint="eastAsia" w:ascii="仿宋_GB2312" w:hAnsi="仿宋_GB2312" w:eastAsia="仿宋_GB2312" w:cs="仿宋_GB2312"/>
          <w:sz w:val="21"/>
          <w:szCs w:val="21"/>
          <w:lang w:val="en-US" w:eastAsia="zh-CN"/>
        </w:rPr>
        <w:t>附件</w:t>
      </w:r>
      <w:r>
        <w:rPr>
          <w:rFonts w:hint="eastAsia" w:ascii="仿宋_GB2312" w:hAnsi="仿宋_GB2312" w:eastAsia="仿宋_GB2312" w:cs="仿宋_GB2312"/>
          <w:sz w:val="21"/>
          <w:szCs w:val="21"/>
        </w:rPr>
        <w:t>《定期维护保养内容》。</w:t>
      </w:r>
    </w:p>
    <w:p>
      <w:pPr>
        <w:spacing w:line="440" w:lineRule="exact"/>
        <w:ind w:firstLine="420" w:firstLineChars="200"/>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b/>
          <w:bCs/>
          <w:sz w:val="21"/>
          <w:szCs w:val="21"/>
        </w:rPr>
        <w:t>每年</w:t>
      </w:r>
      <w:r>
        <w:rPr>
          <w:rFonts w:hint="eastAsia" w:ascii="仿宋_GB2312" w:hAnsi="仿宋_GB2312" w:eastAsia="仿宋_GB2312" w:cs="仿宋_GB2312"/>
          <w:sz w:val="21"/>
          <w:szCs w:val="21"/>
        </w:rPr>
        <w:t>对净化区域做一次</w:t>
      </w:r>
      <w:r>
        <w:rPr>
          <w:rFonts w:hint="eastAsia" w:ascii="仿宋_GB2312" w:hAnsi="仿宋_GB2312" w:eastAsia="仿宋_GB2312" w:cs="仿宋_GB2312"/>
          <w:sz w:val="21"/>
          <w:szCs w:val="21"/>
          <w:lang w:val="en-US" w:eastAsia="zh-CN"/>
        </w:rPr>
        <w:t>自检</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b/>
          <w:bCs/>
          <w:sz w:val="21"/>
          <w:szCs w:val="21"/>
          <w:lang w:val="en-US" w:eastAsia="zh-CN"/>
        </w:rPr>
        <w:t>含配套辅助用房</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，并提供书面的检测报告，监测数据：①空气含尘浓度；②送风量；③房间压力；④温度；⑤湿度；⑥照度。</w:t>
      </w:r>
      <w:r>
        <w:rPr>
          <w:rFonts w:hint="eastAsia" w:ascii="仿宋_GB2312" w:hAnsi="仿宋_GB2312" w:eastAsia="仿宋_GB2312" w:cs="仿宋_GB2312"/>
          <w:sz w:val="21"/>
          <w:szCs w:val="21"/>
          <w:lang w:val="en-US" w:eastAsia="zh-CN"/>
        </w:rPr>
        <w:t>需配合医院院感部门进行第三方检测公司的检测工作，</w:t>
      </w:r>
      <w:r>
        <w:rPr>
          <w:rFonts w:hint="eastAsia" w:ascii="仿宋_GB2312" w:hAnsi="仿宋_GB2312" w:eastAsia="仿宋_GB2312" w:cs="仿宋_GB2312"/>
          <w:sz w:val="21"/>
          <w:szCs w:val="21"/>
        </w:rPr>
        <w:t>若不合格，直至整改合格为止</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由检测不合格而导致的一切问题由中标人承担。</w:t>
      </w:r>
    </w:p>
    <w:p>
      <w:pPr>
        <w:spacing w:line="440" w:lineRule="exact"/>
        <w:ind w:firstLine="420" w:firstLineChars="200"/>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净化机组设备检查清洗消毒，机组内表面的清洗消毒。</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医用气密门、通道门的日常检查、维修和维护保养。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辅助区房间门、通道门的日常检查、维修和维护保养。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手术室、层流病房等净化区域医用气体的信号系统的日常检查、维修和维护保养。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7.</w:t>
      </w:r>
      <w:r>
        <w:rPr>
          <w:rFonts w:hint="eastAsia" w:ascii="仿宋_GB2312" w:hAnsi="仿宋_GB2312" w:eastAsia="仿宋_GB2312" w:cs="仿宋_GB2312"/>
          <w:sz w:val="21"/>
          <w:szCs w:val="21"/>
        </w:rPr>
        <w:t>手术间、层流病房等净化区域呼叫系统的日常检查、维修和维护保养。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手术应急照明灯及UPS的日常检查。</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9.</w:t>
      </w:r>
      <w:r>
        <w:rPr>
          <w:rFonts w:hint="eastAsia" w:ascii="仿宋_GB2312" w:hAnsi="仿宋_GB2312" w:eastAsia="仿宋_GB2312" w:cs="仿宋_GB2312"/>
          <w:sz w:val="21"/>
          <w:szCs w:val="21"/>
        </w:rPr>
        <w:t>嵌入式观片灯、手术间书写台灯、手术室“手术中”标志灯，消防疏散指示系统及走廊应急照明系统日常检查，维修和维护保养。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10.</w:t>
      </w:r>
      <w:r>
        <w:rPr>
          <w:rFonts w:hint="eastAsia" w:ascii="仿宋_GB2312" w:hAnsi="仿宋_GB2312" w:eastAsia="仿宋_GB2312" w:cs="仿宋_GB2312"/>
          <w:sz w:val="21"/>
          <w:szCs w:val="21"/>
        </w:rPr>
        <w:t>手术室广播及背景音乐系统的日常检查、维修和维护保养。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11.</w:t>
      </w:r>
      <w:r>
        <w:rPr>
          <w:rFonts w:hint="eastAsia" w:ascii="仿宋_GB2312" w:hAnsi="仿宋_GB2312" w:eastAsia="仿宋_GB2312" w:cs="仿宋_GB2312"/>
          <w:sz w:val="21"/>
          <w:szCs w:val="21"/>
        </w:rPr>
        <w:t>手术室多功能操作及情报显示控制面板以及净化机组远程控制面板的日常检查、维修和维护保养。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不锈钢自动洗手池及附属设备、设施的日常检查、维修和维护保养。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净化机组设备连接管道及附属设施，比如加湿器，除湿直膨机（VRV原理），阀门等的日常检查、维修和维护保养。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val="en-US" w:eastAsia="zh-CN"/>
        </w:rPr>
        <w:t>4.</w:t>
      </w:r>
      <w:r>
        <w:rPr>
          <w:rFonts w:hint="eastAsia" w:ascii="仿宋_GB2312" w:hAnsi="仿宋_GB2312" w:eastAsia="仿宋_GB2312" w:cs="仿宋_GB2312"/>
          <w:sz w:val="21"/>
          <w:szCs w:val="21"/>
        </w:rPr>
        <w:t>净化区域内的初中高效滤网更换及区域内的新风机组机械滤网清洗（甲方负责滤网耗材）。</w:t>
      </w:r>
    </w:p>
    <w:p>
      <w:pPr>
        <w:spacing w:line="440" w:lineRule="exact"/>
        <w:ind w:firstLine="420" w:firstLineChars="200"/>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15.负责净化设备层区域环境卫生，及各机柜卫生清理，需保持整洁干净，同时维修完毕后及时清理现场杂物，不得堆放在设备间等区域。</w:t>
      </w:r>
    </w:p>
    <w:p>
      <w:pPr>
        <w:spacing w:line="440" w:lineRule="exact"/>
        <w:ind w:firstLine="422" w:firstLineChars="20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三、维保责任</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必须在维保期限内，为我院提供及时有效的服务，须有专业维保人员</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b/>
          <w:bCs/>
          <w:sz w:val="21"/>
          <w:szCs w:val="21"/>
        </w:rPr>
        <w:t>小时</w:t>
      </w:r>
      <w:r>
        <w:rPr>
          <w:rFonts w:hint="eastAsia" w:ascii="仿宋_GB2312" w:hAnsi="仿宋_GB2312" w:eastAsia="仿宋_GB2312" w:cs="仿宋_GB2312"/>
          <w:sz w:val="21"/>
          <w:szCs w:val="21"/>
        </w:rPr>
        <w:t>内提供到场服务，以保证系统的正常运行。</w:t>
      </w:r>
    </w:p>
    <w:p>
      <w:pPr>
        <w:spacing w:line="440" w:lineRule="exact"/>
        <w:ind w:firstLine="420" w:firstLineChars="200"/>
        <w:rPr>
          <w:rFonts w:hint="eastAsia" w:ascii="仿宋_GB2312" w:hAnsi="仿宋_GB2312" w:eastAsia="仿宋_GB2312" w:cs="仿宋_GB2312"/>
          <w:b/>
          <w:sz w:val="21"/>
          <w:szCs w:val="21"/>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维保人员应提供详实的清洗更换和维修记录，</w:t>
      </w:r>
      <w:r>
        <w:rPr>
          <w:rFonts w:hint="eastAsia" w:ascii="仿宋_GB2312" w:hAnsi="仿宋_GB2312" w:eastAsia="仿宋_GB2312" w:cs="仿宋_GB2312"/>
          <w:b/>
          <w:bCs/>
          <w:sz w:val="21"/>
          <w:szCs w:val="21"/>
        </w:rPr>
        <w:t>每月</w:t>
      </w:r>
      <w:r>
        <w:rPr>
          <w:rFonts w:hint="eastAsia" w:ascii="仿宋_GB2312" w:hAnsi="仿宋_GB2312" w:eastAsia="仿宋_GB2312" w:cs="仿宋_GB2312"/>
          <w:sz w:val="21"/>
          <w:szCs w:val="21"/>
        </w:rPr>
        <w:t>上交相关科室，并接受各类检查。</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维保人员应根据现场设备的运行状态向我院提出应急维修备品、备件清单，</w:t>
      </w:r>
      <w:r>
        <w:rPr>
          <w:rFonts w:hint="eastAsia" w:ascii="仿宋_GB2312" w:hAnsi="仿宋_GB2312" w:eastAsia="仿宋_GB2312" w:cs="仿宋_GB2312"/>
          <w:sz w:val="21"/>
          <w:szCs w:val="21"/>
          <w:lang w:val="en-US" w:eastAsia="zh-CN"/>
        </w:rPr>
        <w:t>以及根据甲方提供的维修材料清单进行报价</w:t>
      </w:r>
      <w:r>
        <w:rPr>
          <w:rFonts w:hint="eastAsia" w:ascii="仿宋_GB2312" w:hAnsi="仿宋_GB2312" w:eastAsia="仿宋_GB2312" w:cs="仿宋_GB2312"/>
          <w:sz w:val="21"/>
          <w:szCs w:val="21"/>
        </w:rPr>
        <w:t>。</w:t>
      </w:r>
    </w:p>
    <w:p>
      <w:pPr>
        <w:spacing w:line="440" w:lineRule="exact"/>
        <w:ind w:firstLine="422" w:firstLineChars="200"/>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四、应急处理</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设备故障，现场无法修复的，维保人员应采取积极有效的应急措施以保证净化系统的临时应急使用，达到24</w:t>
      </w:r>
      <w:r>
        <w:rPr>
          <w:rFonts w:hint="eastAsia" w:ascii="仿宋_GB2312" w:hAnsi="仿宋_GB2312" w:eastAsia="仿宋_GB2312" w:cs="仿宋_GB2312"/>
          <w:sz w:val="21"/>
          <w:szCs w:val="21"/>
          <w:lang w:val="en-US" w:eastAsia="zh-CN"/>
        </w:rPr>
        <w:t>小时</w:t>
      </w:r>
      <w:r>
        <w:rPr>
          <w:rFonts w:hint="eastAsia" w:ascii="仿宋_GB2312" w:hAnsi="仿宋_GB2312" w:eastAsia="仿宋_GB2312" w:cs="仿宋_GB2312"/>
          <w:sz w:val="21"/>
          <w:szCs w:val="21"/>
        </w:rPr>
        <w:t>内响应。</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维修无法修复且无法采购到相同的品牌设备的，经双方确认后，应向贵院提出更换申请（或提出更换选型建议）。</w:t>
      </w:r>
    </w:p>
    <w:p>
      <w:pPr>
        <w:spacing w:line="440" w:lineRule="exact"/>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突发性故障，在接到贵院管理人员的报修电话后</w:t>
      </w:r>
      <w:r>
        <w:rPr>
          <w:rFonts w:hint="eastAsia" w:ascii="仿宋_GB2312" w:hAnsi="仿宋_GB2312" w:eastAsia="仿宋_GB2312" w:cs="仿宋_GB2312"/>
          <w:sz w:val="21"/>
          <w:szCs w:val="21"/>
          <w:lang w:val="en-US" w:eastAsia="zh-CN"/>
        </w:rPr>
        <w:t>10分钟</w:t>
      </w:r>
      <w:r>
        <w:rPr>
          <w:rFonts w:hint="eastAsia" w:ascii="仿宋_GB2312" w:hAnsi="仿宋_GB2312" w:eastAsia="仿宋_GB2312" w:cs="仿宋_GB2312"/>
          <w:sz w:val="21"/>
          <w:szCs w:val="21"/>
        </w:rPr>
        <w:t>内，提供响应服务，</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小时内到现场解决故障或提供解决方案。</w:t>
      </w:r>
    </w:p>
    <w:p>
      <w:pPr>
        <w:spacing w:line="440" w:lineRule="exact"/>
        <w:ind w:firstLine="420" w:firstLineChars="200"/>
        <w:rPr>
          <w:rFonts w:hint="eastAsia" w:ascii="仿宋_GB2312" w:hAnsi="仿宋_GB2312" w:eastAsia="仿宋_GB2312" w:cs="仿宋_GB2312"/>
          <w:b/>
          <w:bCs/>
          <w:sz w:val="21"/>
          <w:szCs w:val="21"/>
        </w:rPr>
      </w:pPr>
      <w:r>
        <w:rPr>
          <w:rFonts w:hint="eastAsia" w:ascii="仿宋_GB2312" w:hAnsi="仿宋_GB2312" w:eastAsia="仿宋_GB2312" w:cs="仿宋_GB2312"/>
          <w:sz w:val="21"/>
          <w:szCs w:val="21"/>
        </w:rPr>
        <w:t>4</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故障排除的最长时限为10天（涉及配件采购），配件采购期间需采取应急措施确保系统的正常使用。</w:t>
      </w:r>
    </w:p>
    <w:p>
      <w:pPr>
        <w:spacing w:before="100" w:beforeAutospacing="1" w:after="100" w:afterAutospacing="1" w:line="360" w:lineRule="auto"/>
        <w:jc w:val="both"/>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附件</w:t>
      </w:r>
    </w:p>
    <w:p>
      <w:pPr>
        <w:spacing w:before="100" w:beforeAutospacing="1" w:after="100" w:afterAutospacing="1" w:line="360" w:lineRule="auto"/>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定期维护保养内容</w:t>
      </w:r>
    </w:p>
    <w:tbl>
      <w:tblPr>
        <w:tblStyle w:val="15"/>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4500"/>
        <w:gridCol w:w="952"/>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692" w:type="dxa"/>
            <w:gridSpan w:val="4"/>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空调风系统方面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ind w:right="-204" w:rightChars="-97"/>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4500"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服务内容</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数量</w:t>
            </w:r>
          </w:p>
        </w:tc>
        <w:tc>
          <w:tcPr>
            <w:tcW w:w="2520"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检查新风机组内部卫生情况</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pacing w:val="-20"/>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w:t>
            </w:r>
            <w:r>
              <w:rPr>
                <w:rFonts w:hint="eastAsia" w:ascii="仿宋_GB2312" w:hAnsi="仿宋_GB2312" w:eastAsia="仿宋_GB2312" w:cs="仿宋_GB2312"/>
                <w:sz w:val="21"/>
                <w:szCs w:val="21"/>
                <w:lang w:val="en-US" w:eastAsia="zh-CN"/>
              </w:rPr>
              <w:t>1周</w:t>
            </w:r>
            <w:r>
              <w:rPr>
                <w:rFonts w:hint="eastAsia" w:ascii="仿宋_GB2312" w:hAnsi="仿宋_GB2312" w:eastAsia="仿宋_GB2312" w:cs="仿宋_GB2312"/>
                <w:sz w:val="21"/>
                <w:szCs w:val="21"/>
              </w:rPr>
              <w:t>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检查新、排风过滤网卫生情况并及时更换</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每1周1次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检查空气处理机组内部清洁情况</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每1周1次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机组箱门、壁板密封性检查</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每1周1次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灭菌灯表面擦洗</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每1周1次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表冷器检查、清扫，</w:t>
            </w:r>
            <w:r>
              <w:rPr>
                <w:rFonts w:hint="eastAsia" w:ascii="仿宋_GB2312" w:hAnsi="仿宋_GB2312" w:eastAsia="仿宋_GB2312" w:cs="仿宋_GB2312"/>
                <w:color w:val="auto"/>
                <w:sz w:val="21"/>
                <w:szCs w:val="21"/>
              </w:rPr>
              <w:t>压差调整</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每1月1次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机组密封情况检查（视情况重新硅胶密封）</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每3月1次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检查轴承有无磨损及润滑油泄露</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每3月1次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检查轴承锁定螺栓及其他螺栓的松紧度</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每3月1次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10</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检查机组皮带松动情况及张力</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每3月1次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室内指标检测并提供运行状况报告</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每半年1次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692" w:type="dxa"/>
            <w:gridSpan w:val="4"/>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水、汽系统方面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Align w:val="center"/>
          </w:tcPr>
          <w:p>
            <w:pPr>
              <w:spacing w:before="100" w:beforeAutospacing="1" w:after="100" w:afterAutospacing="1" w:line="280" w:lineRule="exact"/>
              <w:ind w:right="-204" w:rightChars="-97"/>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4500"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服务内容</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数量</w:t>
            </w:r>
          </w:p>
        </w:tc>
        <w:tc>
          <w:tcPr>
            <w:tcW w:w="2520"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蒸汽用过滤器检查</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电动三通阀外观及运行状况检查</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每半年1次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450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供水管水过滤器检查、清洗</w:t>
            </w:r>
          </w:p>
        </w:tc>
        <w:tc>
          <w:tcPr>
            <w:tcW w:w="952"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每半年1次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692" w:type="dxa"/>
            <w:gridSpan w:val="4"/>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电气系统方面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ind w:right="-204" w:rightChars="-97"/>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服务内容</w:t>
            </w:r>
          </w:p>
        </w:tc>
        <w:tc>
          <w:tcPr>
            <w:tcW w:w="2520" w:type="dxa"/>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强弱电系统运行情况检查</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每2周1次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动力电箱分电箱螺丝松紧</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每半年1次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动力电箱分电箱开关闭合、漏电按钮试验</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应急照明电池组充放电</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每年1次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8692" w:type="dxa"/>
            <w:gridSpan w:val="4"/>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装饰系统方面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720" w:type="dxa"/>
            <w:vAlign w:val="center"/>
          </w:tcPr>
          <w:p>
            <w:pPr>
              <w:spacing w:before="100" w:beforeAutospacing="1" w:after="100" w:afterAutospacing="1" w:line="280" w:lineRule="exact"/>
              <w:ind w:right="-204" w:rightChars="-97"/>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序号</w:t>
            </w:r>
          </w:p>
        </w:tc>
        <w:tc>
          <w:tcPr>
            <w:tcW w:w="5452" w:type="dxa"/>
            <w:gridSpan w:val="2"/>
            <w:vAlign w:val="center"/>
          </w:tcPr>
          <w:p>
            <w:pPr>
              <w:spacing w:before="100" w:beforeAutospacing="1" w:after="100" w:afterAutospacing="1" w:line="280" w:lineRule="exact"/>
              <w:jc w:val="center"/>
              <w:rPr>
                <w:rFonts w:hint="eastAsia" w:ascii="仿宋_GB2312" w:hAnsi="仿宋_GB2312" w:eastAsia="仿宋_GB2312" w:cs="仿宋_GB2312"/>
                <w:iCs/>
                <w:sz w:val="21"/>
                <w:szCs w:val="21"/>
              </w:rPr>
            </w:pPr>
            <w:r>
              <w:rPr>
                <w:rFonts w:hint="eastAsia" w:ascii="仿宋_GB2312" w:hAnsi="仿宋_GB2312" w:eastAsia="仿宋_GB2312" w:cs="仿宋_GB2312"/>
                <w:iCs/>
                <w:sz w:val="21"/>
                <w:szCs w:val="21"/>
              </w:rPr>
              <w:t>服务内容</w:t>
            </w:r>
          </w:p>
        </w:tc>
        <w:tc>
          <w:tcPr>
            <w:tcW w:w="25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i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感应门检修</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手推门检修</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手术室配置器具使用情况检查</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洗手池检修</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气密灯罩气密性检查</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墙地面装饰面层完好性检查</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720" w:type="dxa"/>
            <w:vAlign w:val="center"/>
          </w:tcPr>
          <w:p>
            <w:pPr>
              <w:spacing w:before="100" w:beforeAutospacing="1" w:after="100" w:afterAutospacing="1" w:line="28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5452" w:type="dxa"/>
            <w:gridSpan w:val="2"/>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室内污垢检查</w:t>
            </w:r>
          </w:p>
        </w:tc>
        <w:tc>
          <w:tcPr>
            <w:tcW w:w="2520" w:type="dxa"/>
            <w:vAlign w:val="center"/>
          </w:tcPr>
          <w:p>
            <w:pPr>
              <w:spacing w:before="100" w:beforeAutospacing="1" w:after="100" w:afterAutospacing="1" w:line="280" w:lineRule="exac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每月1次</w:t>
            </w:r>
          </w:p>
        </w:tc>
      </w:tr>
    </w:tbl>
    <w:p>
      <w:pPr>
        <w:rPr>
          <w:rFonts w:hint="eastAsia" w:ascii="仿宋_GB2312" w:hAnsi="仿宋_GB2312" w:eastAsia="仿宋_GB2312" w:cs="仿宋_GB2312"/>
          <w:sz w:val="21"/>
          <w:szCs w:val="21"/>
        </w:rPr>
      </w:pPr>
    </w:p>
    <w:p>
      <w:pPr>
        <w:rPr>
          <w:rFonts w:hint="eastAsia" w:ascii="仿宋_GB2312" w:hAnsi="仿宋_GB2312" w:eastAsia="仿宋_GB2312" w:cs="仿宋_GB2312"/>
          <w:sz w:val="21"/>
          <w:szCs w:val="21"/>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hint="eastAsia" w:ascii="宋体" w:hAnsi="宋体"/>
          <w:b/>
          <w:color w:val="000000"/>
          <w:sz w:val="28"/>
          <w:szCs w:val="28"/>
        </w:rPr>
      </w:pPr>
    </w:p>
    <w:p>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pPr>
        <w:widowControl/>
        <w:jc w:val="left"/>
        <w:rPr>
          <w:b/>
          <w:sz w:val="28"/>
          <w:szCs w:val="28"/>
        </w:rPr>
      </w:pPr>
    </w:p>
    <w:p>
      <w:pPr>
        <w:widowControl/>
        <w:jc w:val="left"/>
        <w:rPr>
          <w:b/>
          <w:sz w:val="28"/>
          <w:szCs w:val="28"/>
        </w:rPr>
      </w:pPr>
    </w:p>
    <w:p>
      <w:pPr>
        <w:widowControl/>
        <w:jc w:val="left"/>
        <w:rPr>
          <w:b/>
          <w:sz w:val="28"/>
          <w:szCs w:val="28"/>
        </w:rPr>
      </w:pPr>
      <w:r>
        <w:rPr>
          <w:b/>
          <w:sz w:val="28"/>
          <w:szCs w:val="28"/>
        </w:rPr>
        <w:br w:type="page"/>
      </w:r>
    </w:p>
    <w:p>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i/>
          <w:kern w:val="0"/>
          <w:sz w:val="24"/>
        </w:rPr>
      </w:pPr>
    </w:p>
    <w:p>
      <w:pPr>
        <w:snapToGrid w:val="0"/>
        <w:spacing w:line="360" w:lineRule="auto"/>
        <w:ind w:firstLine="480" w:firstLineChars="200"/>
        <w:rPr>
          <w:rFonts w:ascii="宋体" w:hAnsi="宋体" w:cs="宋体"/>
          <w:kern w:val="0"/>
          <w:sz w:val="24"/>
        </w:rPr>
      </w:pPr>
    </w:p>
    <w:p>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pPr>
        <w:spacing w:line="360" w:lineRule="auto"/>
        <w:rPr>
          <w:rFonts w:ascii="宋体" w:hAnsi="宋体"/>
          <w:sz w:val="24"/>
        </w:rPr>
      </w:pPr>
    </w:p>
    <w:p>
      <w:pPr>
        <w:spacing w:line="360" w:lineRule="auto"/>
        <w:rPr>
          <w:rFonts w:ascii="宋体" w:hAnsi="宋体"/>
          <w:sz w:val="24"/>
        </w:rPr>
      </w:pPr>
    </w:p>
    <w:p>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pPr>
        <w:widowControl/>
        <w:spacing w:line="360" w:lineRule="auto"/>
        <w:jc w:val="left"/>
        <w:rPr>
          <w:rFonts w:ascii="宋体" w:hAnsi="宋体"/>
          <w:sz w:val="24"/>
        </w:rPr>
      </w:pPr>
    </w:p>
    <w:p>
      <w:pPr>
        <w:widowControl/>
        <w:spacing w:line="360" w:lineRule="auto"/>
        <w:jc w:val="left"/>
        <w:rPr>
          <w:rFonts w:ascii="宋体" w:hAnsi="宋体"/>
          <w:sz w:val="24"/>
        </w:rPr>
      </w:pPr>
    </w:p>
    <w:p>
      <w:pPr>
        <w:widowControl/>
        <w:spacing w:line="360" w:lineRule="auto"/>
        <w:jc w:val="left"/>
        <w:rPr>
          <w:rFonts w:ascii="宋体" w:hAnsi="宋体" w:cs="Arial"/>
          <w:kern w:val="0"/>
          <w:sz w:val="24"/>
        </w:rPr>
      </w:pPr>
      <w:r>
        <w:rPr>
          <w:rFonts w:ascii="宋体" w:hAnsi="宋体"/>
          <w:sz w:val="24"/>
        </w:rPr>
        <w:t>年    月    日</w:t>
      </w:r>
    </w:p>
    <w:p>
      <w:pPr>
        <w:snapToGrid w:val="0"/>
        <w:spacing w:before="120" w:beforeLines="50" w:after="50"/>
        <w:rPr>
          <w:rFonts w:ascii="宋体" w:hAnsi="宋体"/>
          <w:b/>
          <w:sz w:val="30"/>
          <w:szCs w:val="30"/>
        </w:rPr>
      </w:pPr>
      <w:r>
        <w:rPr>
          <w:rFonts w:ascii="宋体" w:hAnsi="宋体"/>
          <w:sz w:val="28"/>
          <w:szCs w:val="28"/>
        </w:rPr>
        <w:br w:type="page"/>
      </w:r>
    </w:p>
    <w:p>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hint="eastAsia" w:ascii="宋体" w:hAnsi="宋体"/>
          <w:color w:val="000000"/>
          <w:sz w:val="28"/>
          <w:szCs w:val="28"/>
        </w:rPr>
        <w:t>此页提供经营许可证</w:t>
      </w:r>
    </w:p>
    <w:p>
      <w:pPr>
        <w:widowControl/>
        <w:jc w:val="left"/>
        <w:rPr>
          <w:rFonts w:ascii="宋体" w:hAnsi="宋体"/>
          <w:color w:val="000000"/>
          <w:sz w:val="28"/>
          <w:szCs w:val="28"/>
        </w:rPr>
      </w:pPr>
      <w:r>
        <w:rPr>
          <w:rFonts w:ascii="宋体" w:hAnsi="宋体"/>
          <w:color w:val="000000"/>
          <w:sz w:val="28"/>
          <w:szCs w:val="28"/>
        </w:rPr>
        <w:br w:type="page"/>
      </w:r>
    </w:p>
    <w:p>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6"/>
        <w:gridCol w:w="3113"/>
        <w:gridCol w:w="3026"/>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pPr>
              <w:ind w:right="-110"/>
              <w:jc w:val="center"/>
              <w:rPr>
                <w:rFonts w:ascii="宋体" w:hAnsi="宋体"/>
                <w:spacing w:val="40"/>
                <w:sz w:val="28"/>
                <w:szCs w:val="52"/>
              </w:rPr>
            </w:pPr>
            <w:r>
              <w:rPr>
                <w:rFonts w:ascii="宋体" w:hAnsi="宋体"/>
                <w:spacing w:val="40"/>
                <w:sz w:val="28"/>
                <w:szCs w:val="52"/>
              </w:rPr>
              <w:t>近三年浙江省内类似业绩</w:t>
            </w:r>
          </w:p>
        </w:tc>
        <w:tc>
          <w:tcPr>
            <w:tcW w:w="3208" w:type="dxa"/>
            <w:vAlign w:val="center"/>
          </w:tcPr>
          <w:p>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pPr>
              <w:ind w:right="-110"/>
              <w:jc w:val="center"/>
              <w:rPr>
                <w:rFonts w:ascii="宋体" w:hAnsi="宋体"/>
                <w:spacing w:val="40"/>
                <w:sz w:val="28"/>
                <w:szCs w:val="52"/>
              </w:rPr>
            </w:pPr>
            <w:r>
              <w:rPr>
                <w:rFonts w:ascii="宋体" w:hAnsi="宋体"/>
                <w:spacing w:val="40"/>
                <w:sz w:val="28"/>
                <w:szCs w:val="52"/>
              </w:rPr>
              <w:t>采购日期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pPr>
              <w:ind w:right="-110"/>
              <w:jc w:val="center"/>
              <w:rPr>
                <w:rFonts w:ascii="宋体" w:hAnsi="宋体"/>
                <w:spacing w:val="40"/>
                <w:sz w:val="28"/>
                <w:szCs w:val="52"/>
              </w:rPr>
            </w:pPr>
          </w:p>
        </w:tc>
        <w:tc>
          <w:tcPr>
            <w:tcW w:w="3208" w:type="dxa"/>
            <w:vAlign w:val="center"/>
          </w:tcPr>
          <w:p>
            <w:pPr>
              <w:ind w:right="-110"/>
              <w:jc w:val="center"/>
              <w:rPr>
                <w:rFonts w:ascii="宋体" w:hAnsi="宋体"/>
                <w:spacing w:val="40"/>
                <w:sz w:val="28"/>
                <w:szCs w:val="52"/>
              </w:rPr>
            </w:pPr>
          </w:p>
        </w:tc>
        <w:tc>
          <w:tcPr>
            <w:tcW w:w="3118" w:type="dxa"/>
            <w:vAlign w:val="center"/>
          </w:tcPr>
          <w:p>
            <w:pPr>
              <w:ind w:right="-110"/>
              <w:jc w:val="center"/>
              <w:rPr>
                <w:rFonts w:ascii="宋体" w:hAnsi="宋体"/>
                <w:spacing w:val="40"/>
                <w:sz w:val="28"/>
                <w:szCs w:val="52"/>
              </w:rPr>
            </w:pPr>
          </w:p>
        </w:tc>
        <w:tc>
          <w:tcPr>
            <w:tcW w:w="2653" w:type="dxa"/>
            <w:vAlign w:val="center"/>
          </w:tcPr>
          <w:p>
            <w:pPr>
              <w:ind w:right="-110"/>
              <w:jc w:val="center"/>
              <w:rPr>
                <w:rFonts w:ascii="宋体" w:hAnsi="宋体"/>
                <w:spacing w:val="40"/>
                <w:sz w:val="28"/>
                <w:szCs w:val="52"/>
              </w:rPr>
            </w:pPr>
          </w:p>
        </w:tc>
      </w:tr>
    </w:tbl>
    <w:p>
      <w:pPr>
        <w:widowControl/>
        <w:jc w:val="left"/>
        <w:rPr>
          <w:rFonts w:ascii="宋体" w:hAnsi="宋体"/>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pPr>
        <w:widowControl/>
        <w:jc w:val="left"/>
        <w:rPr>
          <w:rFonts w:hint="eastAsia" w:ascii="宋体" w:hAnsi="宋体"/>
          <w:b/>
          <w:color w:val="000000"/>
          <w:sz w:val="28"/>
          <w:szCs w:val="28"/>
        </w:rPr>
      </w:pPr>
      <w:r>
        <w:rPr>
          <w:rFonts w:hint="eastAsia" w:ascii="宋体" w:hAnsi="宋体"/>
          <w:b/>
          <w:color w:val="000000"/>
          <w:sz w:val="28"/>
          <w:szCs w:val="28"/>
        </w:rPr>
        <w:t>合同复印件：</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pStyle w:val="14"/>
        <w:ind w:left="0" w:leftChars="0" w:firstLine="0" w:firstLineChars="0"/>
        <w:rPr>
          <w:rFonts w:hint="eastAsia" w:ascii="宋体" w:hAnsi="宋体"/>
          <w:b/>
          <w:color w:val="000000"/>
          <w:sz w:val="28"/>
          <w:szCs w:val="28"/>
          <w:lang w:val="en-US" w:eastAsia="zh-CN"/>
        </w:rPr>
      </w:pPr>
      <w:r>
        <w:rPr>
          <w:rFonts w:hint="eastAsia" w:ascii="宋体" w:hAnsi="宋体"/>
          <w:b/>
          <w:color w:val="000000"/>
          <w:sz w:val="28"/>
          <w:szCs w:val="28"/>
          <w:lang w:val="en-US" w:eastAsia="zh-CN"/>
        </w:rPr>
        <w:t>与项目相关资质证书：</w:t>
      </w: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eastAsia" w:ascii="宋体" w:hAnsi="宋体"/>
          <w:b/>
          <w:color w:val="000000"/>
          <w:sz w:val="28"/>
          <w:szCs w:val="28"/>
        </w:rPr>
      </w:pPr>
    </w:p>
    <w:p>
      <w:pPr>
        <w:widowControl/>
        <w:jc w:val="left"/>
        <w:rPr>
          <w:rFonts w:hint="default" w:ascii="宋体" w:hAnsi="宋体" w:eastAsia="宋体"/>
          <w:b/>
          <w:color w:val="000000"/>
          <w:sz w:val="28"/>
          <w:szCs w:val="28"/>
          <w:lang w:val="en-US" w:eastAsia="zh-CN"/>
        </w:rPr>
      </w:pPr>
      <w:r>
        <w:rPr>
          <w:rFonts w:hint="eastAsia" w:ascii="宋体" w:hAnsi="宋体"/>
          <w:b/>
          <w:color w:val="000000"/>
          <w:sz w:val="28"/>
          <w:szCs w:val="28"/>
          <w:lang w:val="en-US" w:eastAsia="zh-CN"/>
        </w:rPr>
        <w:t>报价明细：</w:t>
      </w: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6</w:t>
    </w:r>
    <w:r>
      <w:fldChar w:fldCharType="end"/>
    </w:r>
  </w:p>
  <w:p>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end"/>
    </w:r>
  </w:p>
  <w:p>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0A3A1CAB"/>
    <w:rsid w:val="10E65DFE"/>
    <w:rsid w:val="130B2FC9"/>
    <w:rsid w:val="1C2D5B40"/>
    <w:rsid w:val="268C3D52"/>
    <w:rsid w:val="2C4B5AD5"/>
    <w:rsid w:val="2F865C08"/>
    <w:rsid w:val="34552186"/>
    <w:rsid w:val="4012098A"/>
    <w:rsid w:val="4D7E2A43"/>
    <w:rsid w:val="51C36F40"/>
    <w:rsid w:val="556F163B"/>
    <w:rsid w:val="69750B97"/>
    <w:rsid w:val="6A8C4F91"/>
    <w:rsid w:val="76995EFE"/>
    <w:rsid w:val="79620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2"/>
    <w:next w:val="1"/>
    <w:link w:val="28"/>
    <w:autoRedefine/>
    <w:qFormat/>
    <w:uiPriority w:val="0"/>
    <w:pPr>
      <w:keepNext/>
      <w:keepLines/>
      <w:spacing w:before="260" w:after="260" w:line="416" w:lineRule="auto"/>
      <w:outlineLvl w:val="1"/>
    </w:pPr>
    <w:rPr>
      <w:rFonts w:ascii="Arial" w:hAnsi="Arial" w:eastAsia="黑体"/>
      <w:bCs/>
      <w:sz w:val="32"/>
      <w:szCs w:val="32"/>
    </w:rPr>
  </w:style>
  <w:style w:type="paragraph" w:styleId="4">
    <w:name w:val="heading 3"/>
    <w:basedOn w:val="1"/>
    <w:next w:val="1"/>
    <w:autoRedefine/>
    <w:qFormat/>
    <w:uiPriority w:val="9"/>
    <w:pPr>
      <w:keepNext/>
      <w:keepLines/>
      <w:tabs>
        <w:tab w:val="left" w:pos="0"/>
      </w:tabs>
      <w:ind w:firstLine="0" w:firstLineChars="0"/>
      <w:outlineLvl w:val="2"/>
    </w:pPr>
    <w:rPr>
      <w:b/>
      <w:bCs/>
      <w:szCs w:val="24"/>
    </w:rPr>
  </w:style>
  <w:style w:type="paragraph" w:styleId="5">
    <w:name w:val="heading 4"/>
    <w:basedOn w:val="1"/>
    <w:next w:val="1"/>
    <w:autoRedefine/>
    <w:qFormat/>
    <w:uiPriority w:val="9"/>
    <w:pPr>
      <w:keepNext/>
      <w:keepLines/>
      <w:tabs>
        <w:tab w:val="left" w:pos="0"/>
      </w:tabs>
      <w:ind w:firstLine="0" w:firstLineChars="0"/>
      <w:outlineLvl w:val="3"/>
    </w:pPr>
    <w:rPr>
      <w:b/>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1"/>
    <w:link w:val="26"/>
    <w:autoRedefine/>
    <w:qFormat/>
    <w:uiPriority w:val="0"/>
    <w:pPr>
      <w:ind w:firstLine="420" w:firstLineChars="200"/>
    </w:pPr>
    <w:rPr>
      <w:szCs w:val="20"/>
    </w:rPr>
  </w:style>
  <w:style w:type="paragraph" w:styleId="7">
    <w:name w:val="Body Text"/>
    <w:basedOn w:val="1"/>
    <w:autoRedefine/>
    <w:semiHidden/>
    <w:unhideWhenUsed/>
    <w:qFormat/>
    <w:uiPriority w:val="99"/>
    <w:pPr>
      <w:spacing w:after="120"/>
    </w:pPr>
  </w:style>
  <w:style w:type="paragraph" w:styleId="8">
    <w:name w:val="Body Text Indent"/>
    <w:basedOn w:val="1"/>
    <w:link w:val="29"/>
    <w:autoRedefine/>
    <w:semiHidden/>
    <w:unhideWhenUsed/>
    <w:qFormat/>
    <w:uiPriority w:val="99"/>
    <w:pPr>
      <w:spacing w:after="120"/>
      <w:ind w:left="420" w:leftChars="200"/>
    </w:pPr>
    <w:rPr>
      <w:rFonts w:asciiTheme="minorHAnsi" w:hAnsiTheme="minorHAnsi" w:eastAsiaTheme="minorEastAsia" w:cstheme="minorBidi"/>
    </w:rPr>
  </w:style>
  <w:style w:type="paragraph" w:styleId="9">
    <w:name w:val="Date"/>
    <w:basedOn w:val="1"/>
    <w:next w:val="1"/>
    <w:link w:val="25"/>
    <w:autoRedefine/>
    <w:qFormat/>
    <w:uiPriority w:val="0"/>
    <w:rPr>
      <w:sz w:val="24"/>
      <w:szCs w:val="20"/>
    </w:rPr>
  </w:style>
  <w:style w:type="paragraph" w:styleId="10">
    <w:name w:val="Balloon Text"/>
    <w:basedOn w:val="1"/>
    <w:link w:val="22"/>
    <w:autoRedefine/>
    <w:semiHidden/>
    <w:unhideWhenUsed/>
    <w:qFormat/>
    <w:uiPriority w:val="99"/>
    <w:rPr>
      <w:sz w:val="18"/>
      <w:szCs w:val="18"/>
    </w:rPr>
  </w:style>
  <w:style w:type="paragraph" w:styleId="11">
    <w:name w:val="footer"/>
    <w:basedOn w:val="1"/>
    <w:link w:val="21"/>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7"/>
    <w:autoRedefine/>
    <w:unhideWhenUsed/>
    <w:qFormat/>
    <w:uiPriority w:val="0"/>
    <w:pPr>
      <w:ind w:firstLine="1441"/>
    </w:pPr>
  </w:style>
  <w:style w:type="table" w:styleId="16">
    <w:name w:val="Table Grid"/>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page number"/>
    <w:basedOn w:val="17"/>
    <w:autoRedefine/>
    <w:qFormat/>
    <w:uiPriority w:val="0"/>
  </w:style>
  <w:style w:type="character" w:customStyle="1" w:styleId="20">
    <w:name w:val="页眉 Char"/>
    <w:basedOn w:val="17"/>
    <w:link w:val="12"/>
    <w:autoRedefine/>
    <w:qFormat/>
    <w:uiPriority w:val="99"/>
    <w:rPr>
      <w:sz w:val="18"/>
      <w:szCs w:val="18"/>
    </w:rPr>
  </w:style>
  <w:style w:type="character" w:customStyle="1" w:styleId="21">
    <w:name w:val="页脚 Char"/>
    <w:basedOn w:val="17"/>
    <w:link w:val="11"/>
    <w:autoRedefine/>
    <w:qFormat/>
    <w:uiPriority w:val="0"/>
    <w:rPr>
      <w:sz w:val="18"/>
      <w:szCs w:val="18"/>
    </w:rPr>
  </w:style>
  <w:style w:type="character" w:customStyle="1" w:styleId="22">
    <w:name w:val="批注框文本 Char"/>
    <w:basedOn w:val="17"/>
    <w:link w:val="10"/>
    <w:autoRedefine/>
    <w:semiHidden/>
    <w:qFormat/>
    <w:uiPriority w:val="99"/>
    <w:rPr>
      <w:rFonts w:ascii="Times New Roman" w:hAnsi="Times New Roman" w:eastAsia="宋体" w:cs="Times New Roman"/>
      <w:sz w:val="18"/>
      <w:szCs w:val="18"/>
    </w:rPr>
  </w:style>
  <w:style w:type="paragraph" w:styleId="23">
    <w:name w:val="List Paragraph"/>
    <w:basedOn w:val="1"/>
    <w:autoRedefine/>
    <w:qFormat/>
    <w:uiPriority w:val="34"/>
    <w:pPr>
      <w:ind w:firstLine="420" w:firstLineChars="200"/>
    </w:pPr>
  </w:style>
  <w:style w:type="paragraph" w:customStyle="1" w:styleId="24">
    <w:name w:val="彩色列表 - 强调文字颜色 11"/>
    <w:basedOn w:val="1"/>
    <w:autoRedefine/>
    <w:qFormat/>
    <w:uiPriority w:val="34"/>
    <w:pPr>
      <w:ind w:firstLine="420" w:firstLineChars="200"/>
    </w:pPr>
    <w:rPr>
      <w:rFonts w:ascii="Calibri" w:hAnsi="Calibri"/>
      <w:szCs w:val="22"/>
    </w:rPr>
  </w:style>
  <w:style w:type="character" w:customStyle="1" w:styleId="25">
    <w:name w:val="日期 Char"/>
    <w:basedOn w:val="17"/>
    <w:link w:val="9"/>
    <w:autoRedefine/>
    <w:qFormat/>
    <w:uiPriority w:val="0"/>
    <w:rPr>
      <w:rFonts w:ascii="Times New Roman" w:hAnsi="Times New Roman" w:eastAsia="宋体" w:cs="Times New Roman"/>
      <w:sz w:val="24"/>
      <w:szCs w:val="20"/>
    </w:rPr>
  </w:style>
  <w:style w:type="character" w:customStyle="1" w:styleId="26">
    <w:name w:val="正文缩进 Char"/>
    <w:link w:val="6"/>
    <w:autoRedefine/>
    <w:qFormat/>
    <w:uiPriority w:val="0"/>
    <w:rPr>
      <w:rFonts w:ascii="Times New Roman" w:hAnsi="Times New Roman" w:eastAsia="宋体" w:cs="Times New Roman"/>
      <w:szCs w:val="20"/>
    </w:rPr>
  </w:style>
  <w:style w:type="character" w:customStyle="1" w:styleId="27">
    <w:name w:val="15_0"/>
    <w:autoRedefine/>
    <w:qFormat/>
    <w:uiPriority w:val="0"/>
    <w:rPr>
      <w:rFonts w:hint="default" w:ascii="Times New Roman" w:hAnsi="Times New Roman" w:cs="Times New Roman"/>
      <w:color w:val="0000FF"/>
      <w:u w:val="single"/>
    </w:rPr>
  </w:style>
  <w:style w:type="character" w:customStyle="1" w:styleId="28">
    <w:name w:val="标题 2 Char"/>
    <w:basedOn w:val="17"/>
    <w:link w:val="3"/>
    <w:autoRedefine/>
    <w:qFormat/>
    <w:uiPriority w:val="0"/>
    <w:rPr>
      <w:rFonts w:ascii="Arial" w:hAnsi="Arial" w:eastAsia="黑体" w:cs="Times New Roman"/>
      <w:b/>
      <w:bCs/>
      <w:sz w:val="32"/>
      <w:szCs w:val="32"/>
    </w:rPr>
  </w:style>
  <w:style w:type="character" w:customStyle="1" w:styleId="29">
    <w:name w:val="正文文本缩进 Char"/>
    <w:basedOn w:val="17"/>
    <w:link w:val="8"/>
    <w:autoRedefine/>
    <w:semiHidden/>
    <w:qFormat/>
    <w:uiPriority w:val="99"/>
    <w:rPr>
      <w:kern w:val="2"/>
      <w:sz w:val="21"/>
      <w:szCs w:val="24"/>
    </w:rPr>
  </w:style>
  <w:style w:type="paragraph" w:customStyle="1" w:styleId="30">
    <w:name w:val="表格"/>
    <w:basedOn w:val="1"/>
    <w:autoRedefine/>
    <w:qFormat/>
    <w:uiPriority w:val="0"/>
    <w:pPr>
      <w:snapToGrid w:val="0"/>
      <w:spacing w:line="240" w:lineRule="auto"/>
      <w:ind w:firstLine="0" w:firstLineChars="0"/>
    </w:pPr>
  </w:style>
  <w:style w:type="paragraph" w:customStyle="1" w:styleId="31">
    <w:name w:val="正文2"/>
    <w:basedOn w:val="1"/>
    <w:autoRedefine/>
    <w:qFormat/>
    <w:uiPriority w:val="0"/>
    <w:pPr>
      <w:adjustRightInd w:val="0"/>
      <w:ind w:firstLine="480"/>
    </w:pPr>
    <w:rPr>
      <w:rFonts w:ascii="宋体" w:hAnsi="宋体" w:cs="宋体"/>
      <w:szCs w:val="24"/>
    </w:rPr>
  </w:style>
  <w:style w:type="paragraph" w:customStyle="1" w:styleId="32">
    <w:name w:val="Table Paragraph"/>
    <w:basedOn w:val="1"/>
    <w:autoRedefine/>
    <w:unhideWhenUsed/>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492</Words>
  <Characters>545</Characters>
  <Lines>67</Lines>
  <Paragraphs>19</Paragraphs>
  <TotalTime>0</TotalTime>
  <ScaleCrop>false</ScaleCrop>
  <LinksUpToDate>false</LinksUpToDate>
  <CharactersWithSpaces>587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菜菜</cp:lastModifiedBy>
  <dcterms:modified xsi:type="dcterms:W3CDTF">2025-08-13T08:21:54Z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7F0EA5990F2C47C1AA054576A7A92DA2_12</vt:lpwstr>
  </property>
  <property fmtid="{D5CDD505-2E9C-101B-9397-08002B2CF9AE}" pid="4" name="KSOTemplateDocerSaveRecord">
    <vt:lpwstr>eyJoZGlkIjoiNGM5MzdkNGE1ODFkNTBmMzRkY2Q4YmNkNDQ2MmFhNWUiLCJ1c2VySWQiOiIxMjExMDA5OTU3In0=</vt:lpwstr>
  </property>
</Properties>
</file>