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jc w:val="left"/>
        <w:rPr>
          <w:rFonts w:ascii="宋体" w:hAnsi="宋体"/>
          <w:spacing w:val="40"/>
          <w:sz w:val="28"/>
          <w:szCs w:val="52"/>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4"/>
        <w:gridCol w:w="5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3144" w:type="dxa"/>
            <w:vAlign w:val="center"/>
          </w:tcPr>
          <w:p>
            <w:pPr>
              <w:pStyle w:val="14"/>
              <w:spacing w:before="75" w:beforeAutospacing="0" w:after="75" w:afterAutospacing="0"/>
              <w:jc w:val="center"/>
              <w:rPr>
                <w:rFonts w:cs="Tahoma"/>
                <w:color w:val="333333"/>
                <w:sz w:val="28"/>
                <w:szCs w:val="18"/>
                <w:shd w:val="clear" w:color="auto" w:fill="FFFFFF"/>
              </w:rPr>
            </w:pPr>
            <w:r>
              <w:rPr>
                <w:rFonts w:hint="eastAsia" w:cs="Times New Roman"/>
                <w:b/>
                <w:spacing w:val="40"/>
                <w:kern w:val="2"/>
                <w:sz w:val="28"/>
                <w:szCs w:val="52"/>
              </w:rPr>
              <w:t>项目名称</w:t>
            </w:r>
          </w:p>
        </w:tc>
        <w:tc>
          <w:tcPr>
            <w:tcW w:w="5622" w:type="dxa"/>
            <w:vAlign w:val="center"/>
          </w:tcPr>
          <w:p>
            <w:pPr>
              <w:pStyle w:val="14"/>
              <w:spacing w:before="75" w:beforeAutospacing="0" w:after="75" w:afterAutospacing="0"/>
              <w:jc w:val="center"/>
              <w:rPr>
                <w:rFonts w:hint="eastAsia" w:eastAsia="宋体" w:cs="Times New Roman"/>
                <w:b/>
                <w:spacing w:val="40"/>
                <w:kern w:val="2"/>
                <w:szCs w:val="52"/>
                <w:lang w:val="en-US" w:eastAsia="zh-CN"/>
              </w:rPr>
            </w:pPr>
            <w:r>
              <w:rPr>
                <w:rFonts w:hint="eastAsia" w:cs="Times New Roman"/>
                <w:b/>
                <w:spacing w:val="40"/>
                <w:kern w:val="2"/>
                <w:sz w:val="28"/>
                <w:szCs w:val="52"/>
                <w:lang w:val="en-US" w:eastAsia="zh-CN"/>
              </w:rPr>
              <w:t>两院区污水站及在线监测系统维保服务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公司名称</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企业性质（大型、中型、小型、微型）</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报价（万元）</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联系人</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手机号码</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邮箱</w:t>
            </w:r>
          </w:p>
        </w:tc>
        <w:tc>
          <w:tcPr>
            <w:tcW w:w="5622" w:type="dxa"/>
            <w:vAlign w:val="center"/>
          </w:tcPr>
          <w:p>
            <w:pPr>
              <w:ind w:right="-110"/>
              <w:jc w:val="center"/>
              <w:rPr>
                <w:rFonts w:ascii="宋体" w:hAnsi="宋体"/>
                <w:spacing w:val="40"/>
                <w:sz w:val="28"/>
                <w:szCs w:val="52"/>
              </w:rPr>
            </w:pPr>
          </w:p>
        </w:tc>
      </w:tr>
    </w:tbl>
    <w:p>
      <w:pPr>
        <w:ind w:right="-110"/>
        <w:jc w:val="left"/>
        <w:rPr>
          <w:rFonts w:ascii="宋体" w:hAnsi="宋体"/>
          <w:spacing w:val="40"/>
          <w:sz w:val="28"/>
          <w:szCs w:val="28"/>
        </w:rPr>
      </w:pPr>
      <w:r>
        <w:rPr>
          <w:rFonts w:ascii="宋体" w:hAnsi="宋体"/>
          <w:spacing w:val="40"/>
          <w:sz w:val="28"/>
          <w:szCs w:val="28"/>
        </w:rPr>
        <w:br w:type="page"/>
      </w:r>
    </w:p>
    <w:p>
      <w:pPr>
        <w:widowControl/>
        <w:jc w:val="left"/>
        <w:rPr>
          <w:rFonts w:ascii="宋体" w:hAnsi="宋体"/>
          <w:sz w:val="28"/>
          <w:szCs w:val="28"/>
        </w:rPr>
        <w:sectPr>
          <w:footerReference r:id="rId6" w:type="first"/>
          <w:headerReference r:id="rId3" w:type="default"/>
          <w:footerReference r:id="rId4" w:type="default"/>
          <w:footerReference r:id="rId5" w:type="even"/>
          <w:pgSz w:w="11906" w:h="16838"/>
          <w:pgMar w:top="1247" w:right="1559" w:bottom="1474" w:left="1797" w:header="851" w:footer="851" w:gutter="0"/>
          <w:cols w:space="425" w:num="1"/>
          <w:docGrid w:linePitch="312" w:charSpace="0"/>
        </w:sectPr>
      </w:pPr>
    </w:p>
    <w:p>
      <w:pPr>
        <w:pStyle w:val="5"/>
        <w:tabs>
          <w:tab w:val="left" w:pos="420"/>
        </w:tabs>
        <w:jc w:val="center"/>
        <w:rPr>
          <w:sz w:val="32"/>
          <w:szCs w:val="32"/>
        </w:rPr>
      </w:pPr>
      <w:r>
        <w:rPr>
          <w:rFonts w:hint="eastAsia"/>
          <w:sz w:val="32"/>
          <w:szCs w:val="32"/>
        </w:rPr>
        <w:t>采购需求</w:t>
      </w:r>
    </w:p>
    <w:p>
      <w:pPr>
        <w:pStyle w:val="6"/>
      </w:pPr>
      <w:bookmarkStart w:id="0" w:name="_Toc24511"/>
      <w:r>
        <w:rPr>
          <w:rFonts w:hint="eastAsia"/>
        </w:rPr>
        <w:t>污水站设备维保</w:t>
      </w:r>
      <w:bookmarkEnd w:id="0"/>
    </w:p>
    <w:p>
      <w:pPr>
        <w:ind w:firstLine="480"/>
      </w:pPr>
      <w:r>
        <w:rPr>
          <w:rFonts w:hint="eastAsia"/>
        </w:rPr>
        <w:t xml:space="preserve">地点范围：两院区 </w:t>
      </w:r>
    </w:p>
    <w:p>
      <w:pPr>
        <w:pStyle w:val="2"/>
        <w:ind w:firstLine="480"/>
      </w:pPr>
      <w:r>
        <w:rPr>
          <w:rFonts w:hint="eastAsia"/>
        </w:rPr>
        <w:t>时间范围：2025年11月15日-2027年11月14日</w:t>
      </w:r>
    </w:p>
    <w:p>
      <w:pPr>
        <w:ind w:firstLine="480"/>
        <w:rPr>
          <w:color w:val="000000"/>
        </w:rPr>
      </w:pPr>
      <w:r>
        <w:rPr>
          <w:rFonts w:hint="eastAsia"/>
          <w:color w:val="000000"/>
        </w:rPr>
        <w:t>（一）维保设备清单：</w:t>
      </w:r>
    </w:p>
    <w:tbl>
      <w:tblPr>
        <w:tblStyle w:val="16"/>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3254"/>
        <w:gridCol w:w="2293"/>
        <w:gridCol w:w="821"/>
        <w:gridCol w:w="1449"/>
        <w:gridCol w:w="21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tcBorders>
              <w:tl2br w:val="nil"/>
              <w:tr2bl w:val="nil"/>
            </w:tcBorders>
            <w:vAlign w:val="center"/>
          </w:tcPr>
          <w:p>
            <w:pPr>
              <w:pStyle w:val="30"/>
              <w:jc w:val="center"/>
              <w:rPr>
                <w:kern w:val="0"/>
              </w:rPr>
            </w:pPr>
            <w:r>
              <w:rPr>
                <w:rFonts w:hint="eastAsia"/>
                <w:kern w:val="0"/>
              </w:rPr>
              <w:t>序号</w:t>
            </w:r>
          </w:p>
        </w:tc>
        <w:tc>
          <w:tcPr>
            <w:tcW w:w="1523" w:type="pct"/>
            <w:tcBorders>
              <w:tl2br w:val="nil"/>
              <w:tr2bl w:val="nil"/>
            </w:tcBorders>
            <w:vAlign w:val="center"/>
          </w:tcPr>
          <w:p>
            <w:pPr>
              <w:pStyle w:val="30"/>
              <w:jc w:val="center"/>
              <w:rPr>
                <w:kern w:val="0"/>
              </w:rPr>
            </w:pPr>
            <w:r>
              <w:rPr>
                <w:rFonts w:hint="eastAsia"/>
                <w:kern w:val="0"/>
              </w:rPr>
              <w:t>设备名称</w:t>
            </w:r>
          </w:p>
        </w:tc>
        <w:tc>
          <w:tcPr>
            <w:tcW w:w="1073" w:type="pct"/>
            <w:tcBorders>
              <w:tl2br w:val="nil"/>
              <w:tr2bl w:val="nil"/>
            </w:tcBorders>
            <w:vAlign w:val="center"/>
          </w:tcPr>
          <w:p>
            <w:pPr>
              <w:pStyle w:val="30"/>
              <w:jc w:val="center"/>
              <w:rPr>
                <w:kern w:val="0"/>
              </w:rPr>
            </w:pPr>
            <w:r>
              <w:rPr>
                <w:rFonts w:hint="eastAsia"/>
                <w:kern w:val="0"/>
              </w:rPr>
              <w:t>产品型号/规格</w:t>
            </w:r>
          </w:p>
        </w:tc>
        <w:tc>
          <w:tcPr>
            <w:tcW w:w="384" w:type="pct"/>
            <w:tcBorders>
              <w:tl2br w:val="nil"/>
              <w:tr2bl w:val="nil"/>
            </w:tcBorders>
            <w:vAlign w:val="center"/>
          </w:tcPr>
          <w:p>
            <w:pPr>
              <w:pStyle w:val="30"/>
              <w:jc w:val="center"/>
              <w:rPr>
                <w:kern w:val="0"/>
              </w:rPr>
            </w:pPr>
            <w:r>
              <w:rPr>
                <w:rFonts w:hint="eastAsia"/>
                <w:kern w:val="0"/>
              </w:rPr>
              <w:t>数量</w:t>
            </w:r>
          </w:p>
        </w:tc>
        <w:tc>
          <w:tcPr>
            <w:tcW w:w="678" w:type="pct"/>
            <w:tcBorders>
              <w:tl2br w:val="nil"/>
              <w:tr2bl w:val="nil"/>
            </w:tcBorders>
            <w:vAlign w:val="center"/>
          </w:tcPr>
          <w:p>
            <w:pPr>
              <w:pStyle w:val="30"/>
              <w:jc w:val="center"/>
              <w:rPr>
                <w:kern w:val="0"/>
              </w:rPr>
            </w:pPr>
            <w:r>
              <w:rPr>
                <w:rFonts w:hint="eastAsia"/>
                <w:kern w:val="0"/>
              </w:rPr>
              <w:t>制造商</w:t>
            </w:r>
          </w:p>
        </w:tc>
        <w:tc>
          <w:tcPr>
            <w:tcW w:w="992" w:type="pct"/>
            <w:tcBorders>
              <w:tl2br w:val="nil"/>
              <w:tr2bl w:val="nil"/>
            </w:tcBorders>
            <w:vAlign w:val="center"/>
          </w:tcPr>
          <w:p>
            <w:pPr>
              <w:pStyle w:val="30"/>
              <w:jc w:val="center"/>
              <w:rPr>
                <w:kern w:val="0"/>
              </w:rPr>
            </w:pPr>
            <w:r>
              <w:rPr>
                <w:rFonts w:hint="eastAsia"/>
                <w:kern w:val="0"/>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tcBorders>
              <w:tl2br w:val="nil"/>
              <w:tr2bl w:val="nil"/>
            </w:tcBorders>
            <w:vAlign w:val="center"/>
          </w:tcPr>
          <w:p>
            <w:pPr>
              <w:pStyle w:val="30"/>
              <w:jc w:val="center"/>
              <w:rPr>
                <w:kern w:val="0"/>
              </w:rPr>
            </w:pPr>
            <w:r>
              <w:rPr>
                <w:rFonts w:hint="eastAsia"/>
                <w:kern w:val="0"/>
              </w:rPr>
              <w:t>1</w:t>
            </w:r>
          </w:p>
        </w:tc>
        <w:tc>
          <w:tcPr>
            <w:tcW w:w="1523" w:type="pct"/>
            <w:tcBorders>
              <w:tl2br w:val="nil"/>
              <w:tr2bl w:val="nil"/>
            </w:tcBorders>
            <w:vAlign w:val="center"/>
          </w:tcPr>
          <w:p>
            <w:pPr>
              <w:pStyle w:val="30"/>
              <w:jc w:val="center"/>
              <w:rPr>
                <w:kern w:val="0"/>
              </w:rPr>
            </w:pPr>
            <w:r>
              <w:rPr>
                <w:rFonts w:hint="eastAsia"/>
                <w:kern w:val="0"/>
              </w:rPr>
              <w:t>污水处理系统控制柜</w:t>
            </w:r>
          </w:p>
        </w:tc>
        <w:tc>
          <w:tcPr>
            <w:tcW w:w="1073" w:type="pct"/>
            <w:tcBorders>
              <w:tl2br w:val="nil"/>
              <w:tr2bl w:val="nil"/>
            </w:tcBorders>
            <w:vAlign w:val="center"/>
          </w:tcPr>
          <w:p>
            <w:pPr>
              <w:pStyle w:val="30"/>
              <w:jc w:val="center"/>
              <w:rPr>
                <w:kern w:val="0"/>
              </w:rPr>
            </w:pPr>
            <w:r>
              <w:rPr>
                <w:rFonts w:hint="eastAsia"/>
                <w:kern w:val="0"/>
              </w:rPr>
              <w:t>BKY-Ⅱ</w:t>
            </w:r>
          </w:p>
        </w:tc>
        <w:tc>
          <w:tcPr>
            <w:tcW w:w="384" w:type="pct"/>
            <w:tcBorders>
              <w:tl2br w:val="nil"/>
              <w:tr2bl w:val="nil"/>
            </w:tcBorders>
            <w:vAlign w:val="center"/>
          </w:tcPr>
          <w:p>
            <w:pPr>
              <w:pStyle w:val="30"/>
              <w:jc w:val="center"/>
              <w:rPr>
                <w:kern w:val="0"/>
              </w:rPr>
            </w:pPr>
            <w:r>
              <w:rPr>
                <w:rFonts w:hint="eastAsia"/>
                <w:kern w:val="0"/>
              </w:rPr>
              <w:t>1</w:t>
            </w:r>
          </w:p>
        </w:tc>
        <w:tc>
          <w:tcPr>
            <w:tcW w:w="678" w:type="pct"/>
            <w:tcBorders>
              <w:tl2br w:val="nil"/>
              <w:tr2bl w:val="nil"/>
            </w:tcBorders>
            <w:vAlign w:val="center"/>
          </w:tcPr>
          <w:p>
            <w:pPr>
              <w:pStyle w:val="30"/>
              <w:jc w:val="center"/>
              <w:rPr>
                <w:kern w:val="0"/>
              </w:rPr>
            </w:pPr>
            <w:r>
              <w:rPr>
                <w:rFonts w:hint="eastAsia"/>
                <w:kern w:val="0"/>
              </w:rPr>
              <w:t>通环环保</w:t>
            </w:r>
          </w:p>
        </w:tc>
        <w:tc>
          <w:tcPr>
            <w:tcW w:w="992" w:type="pct"/>
            <w:tcBorders>
              <w:tl2br w:val="nil"/>
              <w:tr2bl w:val="nil"/>
            </w:tcBorders>
            <w:vAlign w:val="center"/>
          </w:tcPr>
          <w:p>
            <w:pPr>
              <w:pStyle w:val="30"/>
              <w:jc w:val="center"/>
              <w:rPr>
                <w:kern w:val="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tcBorders>
              <w:tl2br w:val="nil"/>
              <w:tr2bl w:val="nil"/>
            </w:tcBorders>
            <w:vAlign w:val="center"/>
          </w:tcPr>
          <w:p>
            <w:pPr>
              <w:pStyle w:val="30"/>
              <w:jc w:val="center"/>
              <w:rPr>
                <w:kern w:val="0"/>
              </w:rPr>
            </w:pPr>
            <w:r>
              <w:rPr>
                <w:rFonts w:hint="eastAsia"/>
                <w:kern w:val="0"/>
              </w:rPr>
              <w:t>2</w:t>
            </w:r>
          </w:p>
        </w:tc>
        <w:tc>
          <w:tcPr>
            <w:tcW w:w="1523" w:type="pct"/>
            <w:tcBorders>
              <w:tl2br w:val="nil"/>
              <w:tr2bl w:val="nil"/>
            </w:tcBorders>
            <w:vAlign w:val="center"/>
          </w:tcPr>
          <w:p>
            <w:pPr>
              <w:pStyle w:val="30"/>
              <w:jc w:val="center"/>
              <w:rPr>
                <w:kern w:val="0"/>
              </w:rPr>
            </w:pPr>
            <w:r>
              <w:rPr>
                <w:rFonts w:hint="eastAsia"/>
                <w:kern w:val="0"/>
              </w:rPr>
              <w:t>加药泵</w:t>
            </w:r>
          </w:p>
        </w:tc>
        <w:tc>
          <w:tcPr>
            <w:tcW w:w="1073" w:type="pct"/>
            <w:tcBorders>
              <w:tl2br w:val="nil"/>
              <w:tr2bl w:val="nil"/>
            </w:tcBorders>
            <w:vAlign w:val="center"/>
          </w:tcPr>
          <w:p>
            <w:pPr>
              <w:pStyle w:val="30"/>
              <w:jc w:val="center"/>
              <w:rPr>
                <w:kern w:val="0"/>
              </w:rPr>
            </w:pPr>
            <w:r>
              <w:rPr>
                <w:rFonts w:hint="eastAsia"/>
                <w:kern w:val="0"/>
              </w:rPr>
              <w:t>YS561-2</w:t>
            </w:r>
          </w:p>
        </w:tc>
        <w:tc>
          <w:tcPr>
            <w:tcW w:w="384" w:type="pct"/>
            <w:tcBorders>
              <w:tl2br w:val="nil"/>
              <w:tr2bl w:val="nil"/>
            </w:tcBorders>
            <w:vAlign w:val="center"/>
          </w:tcPr>
          <w:p>
            <w:pPr>
              <w:pStyle w:val="30"/>
              <w:jc w:val="center"/>
              <w:rPr>
                <w:kern w:val="0"/>
              </w:rPr>
            </w:pPr>
            <w:r>
              <w:rPr>
                <w:rFonts w:hint="eastAsia"/>
                <w:kern w:val="0"/>
              </w:rPr>
              <w:t>2</w:t>
            </w:r>
          </w:p>
        </w:tc>
        <w:tc>
          <w:tcPr>
            <w:tcW w:w="678" w:type="pct"/>
            <w:tcBorders>
              <w:tl2br w:val="nil"/>
              <w:tr2bl w:val="nil"/>
            </w:tcBorders>
            <w:vAlign w:val="center"/>
          </w:tcPr>
          <w:p>
            <w:pPr>
              <w:pStyle w:val="30"/>
              <w:jc w:val="center"/>
              <w:rPr>
                <w:kern w:val="0"/>
              </w:rPr>
            </w:pPr>
            <w:r>
              <w:rPr>
                <w:rFonts w:hint="eastAsia"/>
                <w:kern w:val="0"/>
              </w:rPr>
              <w:t>普罗斯特</w:t>
            </w:r>
          </w:p>
        </w:tc>
        <w:tc>
          <w:tcPr>
            <w:tcW w:w="992" w:type="pct"/>
            <w:tcBorders>
              <w:tl2br w:val="nil"/>
              <w:tr2bl w:val="nil"/>
            </w:tcBorders>
            <w:vAlign w:val="center"/>
          </w:tcPr>
          <w:p>
            <w:pPr>
              <w:pStyle w:val="30"/>
              <w:jc w:val="center"/>
              <w:rPr>
                <w:kern w:val="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tcBorders>
              <w:tl2br w:val="nil"/>
              <w:tr2bl w:val="nil"/>
            </w:tcBorders>
            <w:vAlign w:val="center"/>
          </w:tcPr>
          <w:p>
            <w:pPr>
              <w:pStyle w:val="30"/>
              <w:jc w:val="center"/>
              <w:rPr>
                <w:kern w:val="0"/>
              </w:rPr>
            </w:pPr>
            <w:r>
              <w:rPr>
                <w:rFonts w:hint="eastAsia"/>
                <w:kern w:val="0"/>
              </w:rPr>
              <w:t>3</w:t>
            </w:r>
          </w:p>
        </w:tc>
        <w:tc>
          <w:tcPr>
            <w:tcW w:w="1523" w:type="pct"/>
            <w:tcBorders>
              <w:tl2br w:val="nil"/>
              <w:tr2bl w:val="nil"/>
            </w:tcBorders>
            <w:vAlign w:val="center"/>
          </w:tcPr>
          <w:p>
            <w:pPr>
              <w:pStyle w:val="30"/>
              <w:jc w:val="center"/>
              <w:rPr>
                <w:kern w:val="0"/>
              </w:rPr>
            </w:pPr>
            <w:r>
              <w:rPr>
                <w:rFonts w:hint="eastAsia"/>
                <w:kern w:val="0"/>
              </w:rPr>
              <w:t>药剂桶</w:t>
            </w:r>
          </w:p>
        </w:tc>
        <w:tc>
          <w:tcPr>
            <w:tcW w:w="1073" w:type="pct"/>
            <w:tcBorders>
              <w:tl2br w:val="nil"/>
              <w:tr2bl w:val="nil"/>
            </w:tcBorders>
            <w:vAlign w:val="center"/>
          </w:tcPr>
          <w:p>
            <w:pPr>
              <w:pStyle w:val="30"/>
              <w:jc w:val="center"/>
              <w:rPr>
                <w:kern w:val="0"/>
              </w:rPr>
            </w:pPr>
            <w:r>
              <w:rPr>
                <w:rFonts w:hint="eastAsia"/>
                <w:kern w:val="0"/>
              </w:rPr>
              <w:t>V=1m³</w:t>
            </w:r>
          </w:p>
        </w:tc>
        <w:tc>
          <w:tcPr>
            <w:tcW w:w="384" w:type="pct"/>
            <w:tcBorders>
              <w:tl2br w:val="nil"/>
              <w:tr2bl w:val="nil"/>
            </w:tcBorders>
            <w:vAlign w:val="center"/>
          </w:tcPr>
          <w:p>
            <w:pPr>
              <w:pStyle w:val="30"/>
              <w:jc w:val="center"/>
              <w:rPr>
                <w:kern w:val="0"/>
              </w:rPr>
            </w:pPr>
            <w:r>
              <w:rPr>
                <w:rFonts w:hint="eastAsia"/>
                <w:kern w:val="0"/>
              </w:rPr>
              <w:t>4</w:t>
            </w:r>
          </w:p>
        </w:tc>
        <w:tc>
          <w:tcPr>
            <w:tcW w:w="678" w:type="pct"/>
            <w:tcBorders>
              <w:tl2br w:val="nil"/>
              <w:tr2bl w:val="nil"/>
            </w:tcBorders>
            <w:vAlign w:val="center"/>
          </w:tcPr>
          <w:p>
            <w:pPr>
              <w:pStyle w:val="30"/>
              <w:jc w:val="center"/>
              <w:rPr>
                <w:kern w:val="0"/>
              </w:rPr>
            </w:pPr>
            <w:r>
              <w:rPr>
                <w:rFonts w:hint="eastAsia"/>
                <w:kern w:val="0"/>
              </w:rPr>
              <w:t>/</w:t>
            </w:r>
          </w:p>
        </w:tc>
        <w:tc>
          <w:tcPr>
            <w:tcW w:w="992" w:type="pct"/>
            <w:tcBorders>
              <w:tl2br w:val="nil"/>
              <w:tr2bl w:val="nil"/>
            </w:tcBorders>
            <w:vAlign w:val="center"/>
          </w:tcPr>
          <w:p>
            <w:pPr>
              <w:pStyle w:val="30"/>
              <w:jc w:val="center"/>
              <w:rPr>
                <w:kern w:val="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tcBorders>
              <w:tl2br w:val="nil"/>
              <w:tr2bl w:val="nil"/>
            </w:tcBorders>
            <w:vAlign w:val="center"/>
          </w:tcPr>
          <w:p>
            <w:pPr>
              <w:pStyle w:val="30"/>
              <w:jc w:val="center"/>
              <w:rPr>
                <w:kern w:val="0"/>
              </w:rPr>
            </w:pPr>
            <w:r>
              <w:rPr>
                <w:rFonts w:hint="eastAsia"/>
                <w:kern w:val="0"/>
              </w:rPr>
              <w:t>4</w:t>
            </w:r>
          </w:p>
        </w:tc>
        <w:tc>
          <w:tcPr>
            <w:tcW w:w="1523" w:type="pct"/>
            <w:tcBorders>
              <w:tl2br w:val="nil"/>
              <w:tr2bl w:val="nil"/>
            </w:tcBorders>
            <w:vAlign w:val="center"/>
          </w:tcPr>
          <w:p>
            <w:pPr>
              <w:pStyle w:val="30"/>
              <w:jc w:val="center"/>
              <w:rPr>
                <w:kern w:val="0"/>
              </w:rPr>
            </w:pPr>
            <w:r>
              <w:rPr>
                <w:rFonts w:hint="eastAsia"/>
                <w:kern w:val="0"/>
              </w:rPr>
              <w:t>排泥泵</w:t>
            </w:r>
          </w:p>
        </w:tc>
        <w:tc>
          <w:tcPr>
            <w:tcW w:w="1073" w:type="pct"/>
            <w:tcBorders>
              <w:tl2br w:val="nil"/>
              <w:tr2bl w:val="nil"/>
            </w:tcBorders>
            <w:vAlign w:val="center"/>
          </w:tcPr>
          <w:p>
            <w:pPr>
              <w:pStyle w:val="30"/>
              <w:jc w:val="center"/>
              <w:rPr>
                <w:kern w:val="0"/>
              </w:rPr>
            </w:pPr>
            <w:r>
              <w:rPr>
                <w:rFonts w:hint="eastAsia"/>
                <w:kern w:val="0"/>
              </w:rPr>
              <w:t>WQ-10-10-0.75</w:t>
            </w:r>
          </w:p>
        </w:tc>
        <w:tc>
          <w:tcPr>
            <w:tcW w:w="384" w:type="pct"/>
            <w:tcBorders>
              <w:tl2br w:val="nil"/>
              <w:tr2bl w:val="nil"/>
            </w:tcBorders>
            <w:vAlign w:val="center"/>
          </w:tcPr>
          <w:p>
            <w:pPr>
              <w:pStyle w:val="30"/>
              <w:jc w:val="center"/>
              <w:rPr>
                <w:kern w:val="0"/>
              </w:rPr>
            </w:pPr>
            <w:r>
              <w:rPr>
                <w:rFonts w:hint="eastAsia"/>
                <w:kern w:val="0"/>
              </w:rPr>
              <w:t>3</w:t>
            </w:r>
          </w:p>
        </w:tc>
        <w:tc>
          <w:tcPr>
            <w:tcW w:w="678" w:type="pct"/>
            <w:tcBorders>
              <w:tl2br w:val="nil"/>
              <w:tr2bl w:val="nil"/>
            </w:tcBorders>
            <w:vAlign w:val="center"/>
          </w:tcPr>
          <w:p>
            <w:pPr>
              <w:pStyle w:val="30"/>
              <w:jc w:val="center"/>
              <w:rPr>
                <w:kern w:val="0"/>
              </w:rPr>
            </w:pPr>
            <w:r>
              <w:rPr>
                <w:rFonts w:hint="eastAsia"/>
                <w:kern w:val="0"/>
              </w:rPr>
              <w:t>蓝深</w:t>
            </w:r>
          </w:p>
          <w:p>
            <w:pPr>
              <w:pStyle w:val="30"/>
              <w:jc w:val="center"/>
              <w:rPr>
                <w:kern w:val="0"/>
              </w:rPr>
            </w:pPr>
            <w:r>
              <w:rPr>
                <w:rFonts w:hint="eastAsia"/>
                <w:kern w:val="0"/>
              </w:rPr>
              <w:t>集团</w:t>
            </w:r>
          </w:p>
        </w:tc>
        <w:tc>
          <w:tcPr>
            <w:tcW w:w="992" w:type="pct"/>
            <w:tcBorders>
              <w:tl2br w:val="nil"/>
              <w:tr2bl w:val="nil"/>
            </w:tcBorders>
            <w:vAlign w:val="center"/>
          </w:tcPr>
          <w:p>
            <w:pPr>
              <w:pStyle w:val="30"/>
              <w:jc w:val="center"/>
              <w:rPr>
                <w:kern w:val="0"/>
              </w:rPr>
            </w:pPr>
            <w:r>
              <w:rPr>
                <w:rFonts w:hint="eastAsia"/>
                <w:kern w:val="0"/>
              </w:rPr>
              <w:t>沉淀池底部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tcBorders>
              <w:tl2br w:val="nil"/>
              <w:tr2bl w:val="nil"/>
            </w:tcBorders>
            <w:vAlign w:val="center"/>
          </w:tcPr>
          <w:p>
            <w:pPr>
              <w:pStyle w:val="30"/>
              <w:jc w:val="center"/>
              <w:rPr>
                <w:kern w:val="0"/>
              </w:rPr>
            </w:pPr>
            <w:r>
              <w:rPr>
                <w:rFonts w:hint="eastAsia"/>
                <w:kern w:val="0"/>
              </w:rPr>
              <w:t>5</w:t>
            </w:r>
          </w:p>
        </w:tc>
        <w:tc>
          <w:tcPr>
            <w:tcW w:w="1523" w:type="pct"/>
            <w:tcBorders>
              <w:tl2br w:val="nil"/>
              <w:tr2bl w:val="nil"/>
            </w:tcBorders>
            <w:vAlign w:val="center"/>
          </w:tcPr>
          <w:p>
            <w:pPr>
              <w:pStyle w:val="30"/>
              <w:jc w:val="center"/>
              <w:rPr>
                <w:kern w:val="0"/>
              </w:rPr>
            </w:pPr>
            <w:r>
              <w:rPr>
                <w:rFonts w:hint="eastAsia"/>
                <w:kern w:val="0"/>
              </w:rPr>
              <w:t>提升泵</w:t>
            </w:r>
          </w:p>
        </w:tc>
        <w:tc>
          <w:tcPr>
            <w:tcW w:w="1073" w:type="pct"/>
            <w:tcBorders>
              <w:tl2br w:val="nil"/>
              <w:tr2bl w:val="nil"/>
            </w:tcBorders>
            <w:vAlign w:val="center"/>
          </w:tcPr>
          <w:p>
            <w:pPr>
              <w:pStyle w:val="30"/>
              <w:jc w:val="center"/>
              <w:rPr>
                <w:kern w:val="0"/>
              </w:rPr>
            </w:pPr>
            <w:r>
              <w:rPr>
                <w:rFonts w:hint="eastAsia"/>
                <w:kern w:val="0"/>
              </w:rPr>
              <w:t>/</w:t>
            </w:r>
          </w:p>
        </w:tc>
        <w:tc>
          <w:tcPr>
            <w:tcW w:w="384" w:type="pct"/>
            <w:tcBorders>
              <w:tl2br w:val="nil"/>
              <w:tr2bl w:val="nil"/>
            </w:tcBorders>
            <w:vAlign w:val="center"/>
          </w:tcPr>
          <w:p>
            <w:pPr>
              <w:pStyle w:val="30"/>
              <w:jc w:val="center"/>
              <w:rPr>
                <w:kern w:val="0"/>
              </w:rPr>
            </w:pPr>
            <w:r>
              <w:rPr>
                <w:rFonts w:hint="eastAsia"/>
                <w:kern w:val="0"/>
              </w:rPr>
              <w:t>2</w:t>
            </w:r>
          </w:p>
        </w:tc>
        <w:tc>
          <w:tcPr>
            <w:tcW w:w="678" w:type="pct"/>
            <w:tcBorders>
              <w:tl2br w:val="nil"/>
              <w:tr2bl w:val="nil"/>
            </w:tcBorders>
            <w:vAlign w:val="center"/>
          </w:tcPr>
          <w:p>
            <w:pPr>
              <w:pStyle w:val="30"/>
              <w:jc w:val="center"/>
              <w:rPr>
                <w:kern w:val="0"/>
              </w:rPr>
            </w:pPr>
            <w:r>
              <w:rPr>
                <w:rFonts w:hint="eastAsia"/>
                <w:kern w:val="0"/>
              </w:rPr>
              <w:t>/</w:t>
            </w:r>
          </w:p>
        </w:tc>
        <w:tc>
          <w:tcPr>
            <w:tcW w:w="992" w:type="pct"/>
            <w:tcBorders>
              <w:tl2br w:val="nil"/>
              <w:tr2bl w:val="nil"/>
            </w:tcBorders>
            <w:vAlign w:val="center"/>
          </w:tcPr>
          <w:p>
            <w:pPr>
              <w:pStyle w:val="30"/>
              <w:jc w:val="center"/>
              <w:rPr>
                <w:kern w:val="0"/>
              </w:rPr>
            </w:pPr>
            <w:r>
              <w:rPr>
                <w:rFonts w:hint="eastAsia"/>
                <w:kern w:val="0"/>
              </w:rPr>
              <w:t>调节池底部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tcBorders>
              <w:tl2br w:val="nil"/>
              <w:tr2bl w:val="nil"/>
            </w:tcBorders>
            <w:vAlign w:val="center"/>
          </w:tcPr>
          <w:p>
            <w:pPr>
              <w:pStyle w:val="30"/>
              <w:jc w:val="center"/>
              <w:rPr>
                <w:kern w:val="0"/>
              </w:rPr>
            </w:pPr>
            <w:r>
              <w:rPr>
                <w:rFonts w:hint="eastAsia"/>
                <w:kern w:val="0"/>
              </w:rPr>
              <w:t>6</w:t>
            </w:r>
          </w:p>
        </w:tc>
        <w:tc>
          <w:tcPr>
            <w:tcW w:w="1523" w:type="pct"/>
            <w:tcBorders>
              <w:tl2br w:val="nil"/>
              <w:tr2bl w:val="nil"/>
            </w:tcBorders>
            <w:vAlign w:val="center"/>
          </w:tcPr>
          <w:p>
            <w:pPr>
              <w:pStyle w:val="30"/>
              <w:jc w:val="center"/>
              <w:rPr>
                <w:kern w:val="0"/>
              </w:rPr>
            </w:pPr>
            <w:r>
              <w:rPr>
                <w:rFonts w:hint="eastAsia"/>
                <w:kern w:val="0"/>
              </w:rPr>
              <w:t>鼓风机</w:t>
            </w:r>
          </w:p>
        </w:tc>
        <w:tc>
          <w:tcPr>
            <w:tcW w:w="1073" w:type="pct"/>
            <w:tcBorders>
              <w:tl2br w:val="nil"/>
              <w:tr2bl w:val="nil"/>
            </w:tcBorders>
            <w:vAlign w:val="center"/>
          </w:tcPr>
          <w:p>
            <w:pPr>
              <w:pStyle w:val="30"/>
              <w:jc w:val="center"/>
              <w:rPr>
                <w:kern w:val="0"/>
              </w:rPr>
            </w:pPr>
            <w:r>
              <w:rPr>
                <w:rFonts w:hint="eastAsia"/>
                <w:kern w:val="0"/>
              </w:rPr>
              <w:t>BK5006</w:t>
            </w:r>
          </w:p>
        </w:tc>
        <w:tc>
          <w:tcPr>
            <w:tcW w:w="384" w:type="pct"/>
            <w:tcBorders>
              <w:tl2br w:val="nil"/>
              <w:tr2bl w:val="nil"/>
            </w:tcBorders>
            <w:vAlign w:val="center"/>
          </w:tcPr>
          <w:p>
            <w:pPr>
              <w:pStyle w:val="30"/>
              <w:jc w:val="center"/>
              <w:rPr>
                <w:kern w:val="0"/>
              </w:rPr>
            </w:pPr>
            <w:r>
              <w:rPr>
                <w:rFonts w:hint="eastAsia"/>
                <w:kern w:val="0"/>
              </w:rPr>
              <w:t>3</w:t>
            </w:r>
          </w:p>
        </w:tc>
        <w:tc>
          <w:tcPr>
            <w:tcW w:w="678" w:type="pct"/>
            <w:tcBorders>
              <w:tl2br w:val="nil"/>
              <w:tr2bl w:val="nil"/>
            </w:tcBorders>
            <w:vAlign w:val="center"/>
          </w:tcPr>
          <w:p>
            <w:pPr>
              <w:pStyle w:val="30"/>
              <w:jc w:val="center"/>
              <w:rPr>
                <w:kern w:val="0"/>
              </w:rPr>
            </w:pPr>
            <w:r>
              <w:rPr>
                <w:rFonts w:hint="eastAsia"/>
                <w:kern w:val="0"/>
              </w:rPr>
              <w:t>百事德</w:t>
            </w:r>
          </w:p>
        </w:tc>
        <w:tc>
          <w:tcPr>
            <w:tcW w:w="992" w:type="pct"/>
            <w:tcBorders>
              <w:tl2br w:val="nil"/>
              <w:tr2bl w:val="nil"/>
            </w:tcBorders>
            <w:vAlign w:val="center"/>
          </w:tcPr>
          <w:p>
            <w:pPr>
              <w:pStyle w:val="30"/>
              <w:jc w:val="center"/>
              <w:rPr>
                <w:kern w:val="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tcBorders>
              <w:tl2br w:val="nil"/>
              <w:tr2bl w:val="nil"/>
            </w:tcBorders>
            <w:vAlign w:val="center"/>
          </w:tcPr>
          <w:p>
            <w:pPr>
              <w:pStyle w:val="30"/>
              <w:jc w:val="center"/>
              <w:rPr>
                <w:kern w:val="0"/>
              </w:rPr>
            </w:pPr>
            <w:r>
              <w:rPr>
                <w:rFonts w:hint="eastAsia"/>
                <w:kern w:val="0"/>
              </w:rPr>
              <w:t>7</w:t>
            </w:r>
          </w:p>
        </w:tc>
        <w:tc>
          <w:tcPr>
            <w:tcW w:w="1523" w:type="pct"/>
            <w:tcBorders>
              <w:tl2br w:val="nil"/>
              <w:tr2bl w:val="nil"/>
            </w:tcBorders>
            <w:vAlign w:val="center"/>
          </w:tcPr>
          <w:p>
            <w:pPr>
              <w:pStyle w:val="30"/>
              <w:jc w:val="center"/>
              <w:rPr>
                <w:kern w:val="0"/>
              </w:rPr>
            </w:pPr>
            <w:r>
              <w:rPr>
                <w:rFonts w:hint="eastAsia"/>
                <w:kern w:val="0"/>
              </w:rPr>
              <w:t>自动格栅除污机</w:t>
            </w:r>
          </w:p>
        </w:tc>
        <w:tc>
          <w:tcPr>
            <w:tcW w:w="1073" w:type="pct"/>
            <w:tcBorders>
              <w:tl2br w:val="nil"/>
              <w:tr2bl w:val="nil"/>
            </w:tcBorders>
            <w:vAlign w:val="center"/>
          </w:tcPr>
          <w:p>
            <w:pPr>
              <w:pStyle w:val="30"/>
              <w:jc w:val="center"/>
              <w:rPr>
                <w:kern w:val="0"/>
              </w:rPr>
            </w:pPr>
            <w:r>
              <w:rPr>
                <w:rFonts w:hint="eastAsia"/>
                <w:kern w:val="0"/>
              </w:rPr>
              <w:t>/</w:t>
            </w:r>
          </w:p>
        </w:tc>
        <w:tc>
          <w:tcPr>
            <w:tcW w:w="384" w:type="pct"/>
            <w:tcBorders>
              <w:tl2br w:val="nil"/>
              <w:tr2bl w:val="nil"/>
            </w:tcBorders>
            <w:vAlign w:val="center"/>
          </w:tcPr>
          <w:p>
            <w:pPr>
              <w:pStyle w:val="30"/>
              <w:jc w:val="center"/>
              <w:rPr>
                <w:kern w:val="0"/>
              </w:rPr>
            </w:pPr>
            <w:r>
              <w:rPr>
                <w:rFonts w:hint="eastAsia"/>
                <w:kern w:val="0"/>
              </w:rPr>
              <w:t>1</w:t>
            </w:r>
          </w:p>
        </w:tc>
        <w:tc>
          <w:tcPr>
            <w:tcW w:w="678" w:type="pct"/>
            <w:tcBorders>
              <w:tl2br w:val="nil"/>
              <w:tr2bl w:val="nil"/>
            </w:tcBorders>
            <w:vAlign w:val="center"/>
          </w:tcPr>
          <w:p>
            <w:pPr>
              <w:pStyle w:val="30"/>
              <w:jc w:val="center"/>
              <w:rPr>
                <w:kern w:val="0"/>
              </w:rPr>
            </w:pPr>
            <w:r>
              <w:rPr>
                <w:rFonts w:hint="eastAsia"/>
                <w:kern w:val="0"/>
              </w:rPr>
              <w:t>/</w:t>
            </w:r>
          </w:p>
        </w:tc>
        <w:tc>
          <w:tcPr>
            <w:tcW w:w="992" w:type="pct"/>
            <w:tcBorders>
              <w:tl2br w:val="nil"/>
              <w:tr2bl w:val="nil"/>
            </w:tcBorders>
            <w:vAlign w:val="center"/>
          </w:tcPr>
          <w:p>
            <w:pPr>
              <w:pStyle w:val="30"/>
              <w:jc w:val="center"/>
              <w:rPr>
                <w:kern w:val="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tcBorders>
              <w:tl2br w:val="nil"/>
              <w:tr2bl w:val="nil"/>
            </w:tcBorders>
            <w:vAlign w:val="center"/>
          </w:tcPr>
          <w:p>
            <w:pPr>
              <w:pStyle w:val="30"/>
              <w:jc w:val="center"/>
              <w:rPr>
                <w:kern w:val="0"/>
              </w:rPr>
            </w:pPr>
            <w:r>
              <w:rPr>
                <w:rFonts w:hint="eastAsia"/>
                <w:kern w:val="0"/>
              </w:rPr>
              <w:t>8</w:t>
            </w:r>
          </w:p>
        </w:tc>
        <w:tc>
          <w:tcPr>
            <w:tcW w:w="1523" w:type="pct"/>
            <w:tcBorders>
              <w:tl2br w:val="nil"/>
              <w:tr2bl w:val="nil"/>
            </w:tcBorders>
            <w:vAlign w:val="center"/>
          </w:tcPr>
          <w:p>
            <w:pPr>
              <w:pStyle w:val="30"/>
              <w:jc w:val="center"/>
              <w:rPr>
                <w:kern w:val="0"/>
              </w:rPr>
            </w:pPr>
            <w:r>
              <w:rPr>
                <w:rFonts w:hint="eastAsia"/>
                <w:kern w:val="0"/>
              </w:rPr>
              <w:t>除臭装置</w:t>
            </w:r>
          </w:p>
        </w:tc>
        <w:tc>
          <w:tcPr>
            <w:tcW w:w="1073" w:type="pct"/>
            <w:tcBorders>
              <w:tl2br w:val="nil"/>
              <w:tr2bl w:val="nil"/>
            </w:tcBorders>
            <w:vAlign w:val="center"/>
          </w:tcPr>
          <w:p>
            <w:pPr>
              <w:pStyle w:val="30"/>
              <w:jc w:val="center"/>
              <w:rPr>
                <w:kern w:val="0"/>
              </w:rPr>
            </w:pPr>
            <w:r>
              <w:rPr>
                <w:rFonts w:hint="eastAsia"/>
                <w:kern w:val="0"/>
              </w:rPr>
              <w:t>/</w:t>
            </w:r>
          </w:p>
        </w:tc>
        <w:tc>
          <w:tcPr>
            <w:tcW w:w="384" w:type="pct"/>
            <w:tcBorders>
              <w:tl2br w:val="nil"/>
              <w:tr2bl w:val="nil"/>
            </w:tcBorders>
            <w:vAlign w:val="center"/>
          </w:tcPr>
          <w:p>
            <w:pPr>
              <w:pStyle w:val="30"/>
              <w:jc w:val="center"/>
              <w:rPr>
                <w:kern w:val="0"/>
              </w:rPr>
            </w:pPr>
            <w:r>
              <w:rPr>
                <w:rFonts w:hint="eastAsia"/>
                <w:kern w:val="0"/>
              </w:rPr>
              <w:t>1</w:t>
            </w:r>
          </w:p>
        </w:tc>
        <w:tc>
          <w:tcPr>
            <w:tcW w:w="678" w:type="pct"/>
            <w:tcBorders>
              <w:tl2br w:val="nil"/>
              <w:tr2bl w:val="nil"/>
            </w:tcBorders>
            <w:vAlign w:val="center"/>
          </w:tcPr>
          <w:p>
            <w:pPr>
              <w:pStyle w:val="30"/>
              <w:jc w:val="center"/>
              <w:rPr>
                <w:kern w:val="0"/>
              </w:rPr>
            </w:pPr>
            <w:r>
              <w:rPr>
                <w:rFonts w:hint="eastAsia"/>
                <w:kern w:val="0"/>
              </w:rPr>
              <w:t>/</w:t>
            </w:r>
          </w:p>
        </w:tc>
        <w:tc>
          <w:tcPr>
            <w:tcW w:w="992" w:type="pct"/>
            <w:tcBorders>
              <w:tl2br w:val="nil"/>
              <w:tr2bl w:val="nil"/>
            </w:tcBorders>
            <w:vAlign w:val="center"/>
          </w:tcPr>
          <w:p>
            <w:pPr>
              <w:pStyle w:val="30"/>
              <w:jc w:val="center"/>
              <w:rPr>
                <w:kern w:val="0"/>
              </w:rPr>
            </w:pPr>
            <w:r>
              <w:rPr>
                <w:rFonts w:hint="eastAsia"/>
                <w:kern w:val="0"/>
              </w:rPr>
              <w:t>UV紫外线光解</w:t>
            </w:r>
          </w:p>
        </w:tc>
      </w:tr>
    </w:tbl>
    <w:p>
      <w:pPr>
        <w:ind w:firstLine="480"/>
        <w:rPr>
          <w:color w:val="000000"/>
        </w:rPr>
      </w:pPr>
      <w:r>
        <w:rPr>
          <w:rFonts w:hint="eastAsia"/>
          <w:color w:val="000000"/>
        </w:rPr>
        <w:t>（二）设备维保需求：</w:t>
      </w:r>
    </w:p>
    <w:tbl>
      <w:tblPr>
        <w:tblStyle w:val="15"/>
        <w:tblW w:w="5006"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88"/>
        <w:gridCol w:w="1742"/>
        <w:gridCol w:w="3895"/>
        <w:gridCol w:w="3884"/>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tcBorders>
              <w:tl2br w:val="nil"/>
              <w:tr2bl w:val="nil"/>
            </w:tcBorders>
            <w:vAlign w:val="center"/>
          </w:tcPr>
          <w:p>
            <w:pPr>
              <w:pStyle w:val="30"/>
            </w:pPr>
            <w:r>
              <w:rPr>
                <w:rFonts w:hint="eastAsia"/>
              </w:rPr>
              <w:t>序号</w:t>
            </w:r>
          </w:p>
        </w:tc>
        <w:tc>
          <w:tcPr>
            <w:tcW w:w="829" w:type="pct"/>
            <w:tcBorders>
              <w:tl2br w:val="nil"/>
              <w:tr2bl w:val="nil"/>
            </w:tcBorders>
            <w:vAlign w:val="center"/>
          </w:tcPr>
          <w:p>
            <w:pPr>
              <w:pStyle w:val="30"/>
            </w:pPr>
            <w:r>
              <w:rPr>
                <w:rFonts w:hint="eastAsia"/>
              </w:rPr>
              <w:t>项目</w:t>
            </w:r>
          </w:p>
        </w:tc>
        <w:tc>
          <w:tcPr>
            <w:tcW w:w="1853" w:type="pct"/>
            <w:tcBorders>
              <w:tl2br w:val="nil"/>
              <w:tr2bl w:val="nil"/>
            </w:tcBorders>
            <w:vAlign w:val="center"/>
          </w:tcPr>
          <w:p>
            <w:pPr>
              <w:pStyle w:val="30"/>
            </w:pPr>
            <w:r>
              <w:rPr>
                <w:rFonts w:hint="eastAsia"/>
              </w:rPr>
              <w:t>工作内容</w:t>
            </w:r>
          </w:p>
        </w:tc>
        <w:tc>
          <w:tcPr>
            <w:tcW w:w="1848" w:type="pct"/>
            <w:tcBorders>
              <w:tl2br w:val="nil"/>
              <w:tr2bl w:val="nil"/>
            </w:tcBorders>
            <w:vAlign w:val="center"/>
          </w:tcPr>
          <w:p>
            <w:pPr>
              <w:pStyle w:val="30"/>
            </w:pPr>
            <w:r>
              <w:rPr>
                <w:rFonts w:hint="eastAsia"/>
              </w:rPr>
              <w:t>备注维保周期</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restart"/>
            <w:tcBorders>
              <w:tl2br w:val="nil"/>
              <w:tr2bl w:val="nil"/>
            </w:tcBorders>
            <w:vAlign w:val="center"/>
          </w:tcPr>
          <w:p>
            <w:pPr>
              <w:pStyle w:val="30"/>
            </w:pPr>
            <w:r>
              <w:rPr>
                <w:rFonts w:hint="eastAsia"/>
              </w:rPr>
              <w:t>1</w:t>
            </w:r>
          </w:p>
        </w:tc>
        <w:tc>
          <w:tcPr>
            <w:tcW w:w="829" w:type="pct"/>
            <w:vMerge w:val="restart"/>
            <w:tcBorders>
              <w:tl2br w:val="nil"/>
              <w:tr2bl w:val="nil"/>
            </w:tcBorders>
            <w:vAlign w:val="center"/>
          </w:tcPr>
          <w:p>
            <w:pPr>
              <w:pStyle w:val="30"/>
            </w:pPr>
            <w:r>
              <w:rPr>
                <w:rFonts w:hint="eastAsia"/>
              </w:rPr>
              <w:t>阀门管路系统</w:t>
            </w:r>
          </w:p>
        </w:tc>
        <w:tc>
          <w:tcPr>
            <w:tcW w:w="1853" w:type="pct"/>
            <w:tcBorders>
              <w:tl2br w:val="nil"/>
              <w:tr2bl w:val="nil"/>
            </w:tcBorders>
            <w:vAlign w:val="center"/>
          </w:tcPr>
          <w:p>
            <w:pPr>
              <w:pStyle w:val="30"/>
            </w:pPr>
            <w:r>
              <w:rPr>
                <w:rFonts w:hint="eastAsia"/>
              </w:rPr>
              <w:t>所有阀芯部位加注润滑脂</w:t>
            </w:r>
          </w:p>
        </w:tc>
        <w:tc>
          <w:tcPr>
            <w:tcW w:w="1848" w:type="pct"/>
            <w:vMerge w:val="restart"/>
            <w:tcBorders>
              <w:tl2br w:val="nil"/>
              <w:tr2bl w:val="nil"/>
            </w:tcBorders>
            <w:vAlign w:val="center"/>
          </w:tcPr>
          <w:p>
            <w:pPr>
              <w:pStyle w:val="30"/>
            </w:pPr>
            <w:r>
              <w:rPr>
                <w:rFonts w:hint="eastAsia"/>
              </w:rPr>
              <w:t>按采购人要求或根据现状判断决定维修、维保或更换周期</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蝶阀、闸阀、球阀手动检查</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restart"/>
            <w:tcBorders>
              <w:tl2br w:val="nil"/>
              <w:tr2bl w:val="nil"/>
            </w:tcBorders>
            <w:vAlign w:val="center"/>
          </w:tcPr>
          <w:p>
            <w:pPr>
              <w:pStyle w:val="30"/>
            </w:pPr>
            <w:r>
              <w:rPr>
                <w:rFonts w:hint="eastAsia"/>
              </w:rPr>
              <w:t>2</w:t>
            </w:r>
          </w:p>
        </w:tc>
        <w:tc>
          <w:tcPr>
            <w:tcW w:w="829" w:type="pct"/>
            <w:vMerge w:val="restart"/>
            <w:tcBorders>
              <w:tl2br w:val="nil"/>
              <w:tr2bl w:val="nil"/>
            </w:tcBorders>
            <w:vAlign w:val="center"/>
          </w:tcPr>
          <w:p>
            <w:pPr>
              <w:pStyle w:val="30"/>
            </w:pPr>
            <w:r>
              <w:rPr>
                <w:rFonts w:hint="eastAsia"/>
              </w:rPr>
              <w:t>格栅系统</w:t>
            </w:r>
          </w:p>
        </w:tc>
        <w:tc>
          <w:tcPr>
            <w:tcW w:w="1853" w:type="pct"/>
            <w:tcBorders>
              <w:tl2br w:val="nil"/>
              <w:tr2bl w:val="nil"/>
            </w:tcBorders>
            <w:vAlign w:val="center"/>
          </w:tcPr>
          <w:p>
            <w:pPr>
              <w:pStyle w:val="30"/>
            </w:pPr>
            <w:r>
              <w:rPr>
                <w:rFonts w:hint="eastAsia"/>
              </w:rPr>
              <w:t>格栅支架除锈防腐等</w:t>
            </w:r>
          </w:p>
        </w:tc>
        <w:tc>
          <w:tcPr>
            <w:tcW w:w="1848" w:type="pct"/>
            <w:tcBorders>
              <w:tl2br w:val="nil"/>
              <w:tr2bl w:val="nil"/>
            </w:tcBorders>
            <w:vAlign w:val="center"/>
          </w:tcPr>
          <w:p>
            <w:pPr>
              <w:pStyle w:val="30"/>
            </w:pPr>
            <w:r>
              <w:rPr>
                <w:rFonts w:hint="eastAsia"/>
              </w:rPr>
              <w:t>一年一次</w:t>
            </w:r>
          </w:p>
        </w:tc>
      </w:tr>
      <w:tr>
        <w:tblPrEx>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格栅设备检查、外观防腐防锈</w:t>
            </w:r>
          </w:p>
        </w:tc>
        <w:tc>
          <w:tcPr>
            <w:tcW w:w="1848" w:type="pct"/>
            <w:tcBorders>
              <w:tl2br w:val="nil"/>
              <w:tr2bl w:val="nil"/>
            </w:tcBorders>
            <w:vAlign w:val="center"/>
          </w:tcPr>
          <w:p>
            <w:pPr>
              <w:pStyle w:val="30"/>
            </w:pPr>
            <w:r>
              <w:rPr>
                <w:rFonts w:hint="eastAsia"/>
              </w:rPr>
              <w:t>每3个月为周期润滑齿轮组件、每6个月为周期补充、更换电机机油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restart"/>
            <w:tcBorders>
              <w:tl2br w:val="nil"/>
              <w:tr2bl w:val="nil"/>
            </w:tcBorders>
            <w:vAlign w:val="center"/>
          </w:tcPr>
          <w:p>
            <w:pPr>
              <w:pStyle w:val="30"/>
            </w:pPr>
            <w:r>
              <w:rPr>
                <w:rFonts w:hint="eastAsia"/>
              </w:rPr>
              <w:t>3</w:t>
            </w:r>
          </w:p>
        </w:tc>
        <w:tc>
          <w:tcPr>
            <w:tcW w:w="829" w:type="pct"/>
            <w:vMerge w:val="restart"/>
            <w:tcBorders>
              <w:tl2br w:val="nil"/>
              <w:tr2bl w:val="nil"/>
            </w:tcBorders>
            <w:vAlign w:val="center"/>
          </w:tcPr>
          <w:p>
            <w:pPr>
              <w:pStyle w:val="30"/>
            </w:pPr>
            <w:r>
              <w:rPr>
                <w:rFonts w:hint="eastAsia"/>
              </w:rPr>
              <w:t>污水泵系统</w:t>
            </w:r>
          </w:p>
        </w:tc>
        <w:tc>
          <w:tcPr>
            <w:tcW w:w="1853" w:type="pct"/>
            <w:tcBorders>
              <w:tl2br w:val="nil"/>
              <w:tr2bl w:val="nil"/>
            </w:tcBorders>
            <w:vAlign w:val="center"/>
          </w:tcPr>
          <w:p>
            <w:pPr>
              <w:pStyle w:val="30"/>
            </w:pPr>
            <w:r>
              <w:rPr>
                <w:rFonts w:hint="eastAsia"/>
              </w:rPr>
              <w:t>检查电气控制是否正常并维护修理</w:t>
            </w:r>
          </w:p>
        </w:tc>
        <w:tc>
          <w:tcPr>
            <w:tcW w:w="1848" w:type="pct"/>
            <w:vMerge w:val="restart"/>
            <w:tcBorders>
              <w:tl2br w:val="nil"/>
              <w:tr2bl w:val="nil"/>
            </w:tcBorders>
            <w:vAlign w:val="center"/>
          </w:tcPr>
          <w:p>
            <w:pPr>
              <w:pStyle w:val="30"/>
            </w:pPr>
            <w:r>
              <w:rPr>
                <w:rFonts w:hint="eastAsia"/>
              </w:rPr>
              <w:t>每个月至少一次/污水泵故障时</w:t>
            </w:r>
          </w:p>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清理水泵吸入口垃圾缠绕物</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自耦装置按需耦合调整</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配套液位计检查及更换</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污水泵提升管路检查修复（下池作业）</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restart"/>
            <w:tcBorders>
              <w:tl2br w:val="nil"/>
              <w:tr2bl w:val="nil"/>
            </w:tcBorders>
            <w:vAlign w:val="center"/>
          </w:tcPr>
          <w:p>
            <w:pPr>
              <w:pStyle w:val="30"/>
            </w:pPr>
            <w:r>
              <w:rPr>
                <w:rFonts w:hint="eastAsia"/>
              </w:rPr>
              <w:t>4</w:t>
            </w:r>
          </w:p>
        </w:tc>
        <w:tc>
          <w:tcPr>
            <w:tcW w:w="829" w:type="pct"/>
            <w:vMerge w:val="restart"/>
            <w:tcBorders>
              <w:tl2br w:val="nil"/>
              <w:tr2bl w:val="nil"/>
            </w:tcBorders>
            <w:vAlign w:val="center"/>
          </w:tcPr>
          <w:p>
            <w:pPr>
              <w:pStyle w:val="30"/>
            </w:pPr>
            <w:r>
              <w:rPr>
                <w:rFonts w:hint="eastAsia"/>
              </w:rPr>
              <w:t>鼓风机系统</w:t>
            </w:r>
          </w:p>
        </w:tc>
        <w:tc>
          <w:tcPr>
            <w:tcW w:w="1853" w:type="pct"/>
            <w:tcBorders>
              <w:tl2br w:val="nil"/>
              <w:tr2bl w:val="nil"/>
            </w:tcBorders>
            <w:vAlign w:val="center"/>
          </w:tcPr>
          <w:p>
            <w:pPr>
              <w:pStyle w:val="30"/>
            </w:pPr>
            <w:r>
              <w:rPr>
                <w:rFonts w:hint="eastAsia"/>
              </w:rPr>
              <w:t>补充电机轴承内润滑油，检查油质及更换新油</w:t>
            </w:r>
          </w:p>
        </w:tc>
        <w:tc>
          <w:tcPr>
            <w:tcW w:w="1848" w:type="pct"/>
            <w:tcBorders>
              <w:tl2br w:val="nil"/>
              <w:tr2bl w:val="nil"/>
            </w:tcBorders>
            <w:vAlign w:val="center"/>
          </w:tcPr>
          <w:p>
            <w:pPr>
              <w:pStyle w:val="30"/>
            </w:pPr>
            <w:r>
              <w:rPr>
                <w:rFonts w:hint="eastAsia"/>
              </w:rPr>
              <w:t>每一个月补充、更换电机轴承内润滑油（黄油）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检查齿轮润滑油油质及更换添加新油</w:t>
            </w:r>
          </w:p>
        </w:tc>
        <w:tc>
          <w:tcPr>
            <w:tcW w:w="1848" w:type="pct"/>
            <w:tcBorders>
              <w:tl2br w:val="nil"/>
              <w:tr2bl w:val="nil"/>
            </w:tcBorders>
            <w:vAlign w:val="center"/>
          </w:tcPr>
          <w:p>
            <w:pPr>
              <w:pStyle w:val="30"/>
            </w:pPr>
            <w:r>
              <w:rPr>
                <w:rFonts w:hint="eastAsia"/>
              </w:rPr>
              <w:t>每两个半月更换齿轮润滑油（机油）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清洗烘干空气滤清器</w:t>
            </w:r>
          </w:p>
        </w:tc>
        <w:tc>
          <w:tcPr>
            <w:tcW w:w="1848" w:type="pct"/>
            <w:vMerge w:val="restart"/>
            <w:tcBorders>
              <w:tl2br w:val="nil"/>
              <w:tr2bl w:val="nil"/>
            </w:tcBorders>
            <w:vAlign w:val="center"/>
          </w:tcPr>
          <w:p>
            <w:pPr>
              <w:pStyle w:val="30"/>
            </w:pPr>
            <w:r>
              <w:rPr>
                <w:rFonts w:hint="eastAsia"/>
              </w:rPr>
              <w:t>按采购人要求或根据现状判断决定维修、维保或更换周期</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检修并及时调整油嘴滴油数量</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检查皮带松紧程度、调整张紧度及更换损坏的皮带</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检查风机压力表并校准</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检查电气控制是否正常</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外观及零配件除锈防腐</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restart"/>
            <w:tcBorders>
              <w:tl2br w:val="nil"/>
              <w:tr2bl w:val="nil"/>
            </w:tcBorders>
            <w:vAlign w:val="center"/>
          </w:tcPr>
          <w:p>
            <w:pPr>
              <w:pStyle w:val="30"/>
            </w:pPr>
            <w:r>
              <w:rPr>
                <w:rFonts w:hint="eastAsia"/>
              </w:rPr>
              <w:t>5</w:t>
            </w:r>
          </w:p>
        </w:tc>
        <w:tc>
          <w:tcPr>
            <w:tcW w:w="829" w:type="pct"/>
            <w:vMerge w:val="restart"/>
            <w:tcBorders>
              <w:tl2br w:val="nil"/>
              <w:tr2bl w:val="nil"/>
            </w:tcBorders>
            <w:vAlign w:val="center"/>
          </w:tcPr>
          <w:p>
            <w:pPr>
              <w:pStyle w:val="30"/>
            </w:pPr>
            <w:r>
              <w:rPr>
                <w:rFonts w:hint="eastAsia"/>
              </w:rPr>
              <w:t>加药装置系统</w:t>
            </w:r>
          </w:p>
        </w:tc>
        <w:tc>
          <w:tcPr>
            <w:tcW w:w="1853" w:type="pct"/>
            <w:tcBorders>
              <w:tl2br w:val="nil"/>
              <w:tr2bl w:val="nil"/>
            </w:tcBorders>
            <w:vAlign w:val="center"/>
          </w:tcPr>
          <w:p>
            <w:pPr>
              <w:pStyle w:val="30"/>
            </w:pPr>
            <w:r>
              <w:rPr>
                <w:rFonts w:hint="eastAsia"/>
              </w:rPr>
              <w:t>检查电气控制是否正常</w:t>
            </w:r>
          </w:p>
        </w:tc>
        <w:tc>
          <w:tcPr>
            <w:tcW w:w="1848" w:type="pct"/>
            <w:vMerge w:val="restart"/>
            <w:tcBorders>
              <w:tl2br w:val="nil"/>
              <w:tr2bl w:val="nil"/>
            </w:tcBorders>
            <w:vAlign w:val="center"/>
          </w:tcPr>
          <w:p>
            <w:pPr>
              <w:pStyle w:val="30"/>
            </w:pPr>
            <w:r>
              <w:rPr>
                <w:rFonts w:hint="eastAsia"/>
              </w:rPr>
              <w:t>按采购人要求或根据现状判断决定维修、维保或更换周期</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检修设备阀门接头是否松动及老化</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加药管路清洗、反洗</w:t>
            </w:r>
          </w:p>
        </w:tc>
        <w:tc>
          <w:tcPr>
            <w:tcW w:w="1848" w:type="pct"/>
            <w:tcBorders>
              <w:tl2br w:val="nil"/>
              <w:tr2bl w:val="nil"/>
            </w:tcBorders>
            <w:vAlign w:val="center"/>
          </w:tcPr>
          <w:p>
            <w:pPr>
              <w:pStyle w:val="30"/>
            </w:pPr>
            <w:r>
              <w:rPr>
                <w:rFonts w:hint="eastAsia"/>
              </w:rPr>
              <w:t>每个月至少一次</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计量泵流量校准</w:t>
            </w:r>
          </w:p>
        </w:tc>
        <w:tc>
          <w:tcPr>
            <w:tcW w:w="1848" w:type="pct"/>
            <w:vMerge w:val="restart"/>
            <w:tcBorders>
              <w:tl2br w:val="nil"/>
              <w:tr2bl w:val="nil"/>
            </w:tcBorders>
            <w:vAlign w:val="center"/>
          </w:tcPr>
          <w:p>
            <w:pPr>
              <w:pStyle w:val="30"/>
            </w:pPr>
            <w:r>
              <w:rPr>
                <w:rFonts w:hint="eastAsia"/>
              </w:rPr>
              <w:t>按采购人要求或根据现状判断决定维修、维保或更换周期（每个月至少清洗一次</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易损件接头定期更换</w:t>
            </w:r>
          </w:p>
        </w:tc>
        <w:tc>
          <w:tcPr>
            <w:tcW w:w="1848" w:type="pct"/>
            <w:vMerge w:val="continue"/>
            <w:tcBorders>
              <w:tl2br w:val="nil"/>
              <w:tr2bl w:val="nil"/>
            </w:tcBorders>
            <w:vAlign w:val="center"/>
          </w:tcPr>
          <w:p>
            <w:pPr>
              <w:pStyle w:val="30"/>
            </w:pPr>
          </w:p>
        </w:tc>
      </w:tr>
      <w:tr>
        <w:tblPrEx>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背压阀定期检查、检查流量是否正常</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计量泵膜片按需清洗</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消毒效果（便携式总氯检测仪）核实</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restart"/>
            <w:tcBorders>
              <w:tl2br w:val="nil"/>
              <w:tr2bl w:val="nil"/>
            </w:tcBorders>
            <w:vAlign w:val="center"/>
          </w:tcPr>
          <w:p>
            <w:pPr>
              <w:pStyle w:val="30"/>
            </w:pPr>
            <w:r>
              <w:rPr>
                <w:rFonts w:hint="eastAsia"/>
              </w:rPr>
              <w:t>6</w:t>
            </w:r>
          </w:p>
        </w:tc>
        <w:tc>
          <w:tcPr>
            <w:tcW w:w="829" w:type="pct"/>
            <w:vMerge w:val="restart"/>
            <w:tcBorders>
              <w:tl2br w:val="nil"/>
              <w:tr2bl w:val="nil"/>
            </w:tcBorders>
            <w:vAlign w:val="center"/>
          </w:tcPr>
          <w:p>
            <w:pPr>
              <w:pStyle w:val="30"/>
            </w:pPr>
            <w:r>
              <w:rPr>
                <w:rFonts w:hint="eastAsia"/>
              </w:rPr>
              <w:t>污水工艺系统巡检</w:t>
            </w:r>
          </w:p>
        </w:tc>
        <w:tc>
          <w:tcPr>
            <w:tcW w:w="1853" w:type="pct"/>
            <w:tcBorders>
              <w:tl2br w:val="nil"/>
              <w:tr2bl w:val="nil"/>
            </w:tcBorders>
            <w:vAlign w:val="center"/>
          </w:tcPr>
          <w:p>
            <w:pPr>
              <w:pStyle w:val="30"/>
            </w:pPr>
            <w:r>
              <w:rPr>
                <w:rFonts w:hint="eastAsia"/>
              </w:rPr>
              <w:t>污水站相关池体巡查并做好巡查记录</w:t>
            </w:r>
          </w:p>
        </w:tc>
        <w:tc>
          <w:tcPr>
            <w:tcW w:w="1848" w:type="pct"/>
            <w:vMerge w:val="restart"/>
            <w:tcBorders>
              <w:tl2br w:val="nil"/>
              <w:tr2bl w:val="nil"/>
            </w:tcBorders>
            <w:vAlign w:val="center"/>
          </w:tcPr>
          <w:p>
            <w:pPr>
              <w:pStyle w:val="30"/>
            </w:pPr>
            <w:r>
              <w:rPr>
                <w:rFonts w:hint="eastAsia"/>
              </w:rPr>
              <w:t>每个月至少一次；</w:t>
            </w:r>
            <w:r>
              <w:rPr>
                <w:rFonts w:hint="eastAsia"/>
                <w:color w:val="000000" w:themeColor="text1"/>
                <w14:textFill>
                  <w14:solidFill>
                    <w14:schemeClr w14:val="tx1"/>
                  </w14:solidFill>
                </w14:textFill>
              </w:rPr>
              <w:t>灵隐院区调节池进水闸阀及隔栅池每两个月下池清理一次垃圾及网兜更换，并包含污泥清运。</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保证当次巡检找出问题及提出解决方案</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污水站整体运行能力体检、水质检查</w:t>
            </w:r>
          </w:p>
        </w:tc>
        <w:tc>
          <w:tcPr>
            <w:tcW w:w="1848" w:type="pct"/>
            <w:tcBorders>
              <w:tl2br w:val="nil"/>
              <w:tr2bl w:val="nil"/>
            </w:tcBorders>
            <w:vAlign w:val="center"/>
          </w:tcPr>
          <w:p>
            <w:pPr>
              <w:pStyle w:val="30"/>
            </w:pPr>
            <w:r>
              <w:rPr>
                <w:rFonts w:hint="eastAsia"/>
              </w:rPr>
              <w:t>每年两次</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restart"/>
            <w:tcBorders>
              <w:tl2br w:val="nil"/>
              <w:tr2bl w:val="nil"/>
            </w:tcBorders>
            <w:vAlign w:val="center"/>
          </w:tcPr>
          <w:p>
            <w:pPr>
              <w:pStyle w:val="30"/>
            </w:pPr>
            <w:r>
              <w:rPr>
                <w:rFonts w:hint="eastAsia"/>
              </w:rPr>
              <w:t>7</w:t>
            </w:r>
          </w:p>
        </w:tc>
        <w:tc>
          <w:tcPr>
            <w:tcW w:w="829" w:type="pct"/>
            <w:vMerge w:val="restart"/>
            <w:tcBorders>
              <w:tl2br w:val="nil"/>
              <w:tr2bl w:val="nil"/>
            </w:tcBorders>
            <w:vAlign w:val="center"/>
          </w:tcPr>
          <w:p>
            <w:pPr>
              <w:pStyle w:val="30"/>
            </w:pPr>
            <w:r>
              <w:rPr>
                <w:rFonts w:hint="eastAsia"/>
              </w:rPr>
              <w:t>电气控制柜系统</w:t>
            </w:r>
          </w:p>
        </w:tc>
        <w:tc>
          <w:tcPr>
            <w:tcW w:w="1853" w:type="pct"/>
            <w:tcBorders>
              <w:tl2br w:val="nil"/>
              <w:tr2bl w:val="nil"/>
            </w:tcBorders>
            <w:vAlign w:val="center"/>
          </w:tcPr>
          <w:p>
            <w:pPr>
              <w:pStyle w:val="30"/>
            </w:pPr>
            <w:r>
              <w:rPr>
                <w:rFonts w:hint="eastAsia"/>
              </w:rPr>
              <w:t>检查空气开关并维护</w:t>
            </w:r>
          </w:p>
        </w:tc>
        <w:tc>
          <w:tcPr>
            <w:tcW w:w="1848" w:type="pct"/>
            <w:vMerge w:val="restart"/>
            <w:tcBorders>
              <w:tl2br w:val="nil"/>
              <w:tr2bl w:val="nil"/>
            </w:tcBorders>
            <w:vAlign w:val="center"/>
          </w:tcPr>
          <w:p>
            <w:pPr>
              <w:pStyle w:val="30"/>
            </w:pPr>
            <w:r>
              <w:rPr>
                <w:rFonts w:hint="eastAsia"/>
              </w:rPr>
              <w:t>按采购人要求或根据现状判断决定维修、维保或更换周期</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检查继电器并维护</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检查交流接触器并维护</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重新紧固接线端子</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检修控制面板按钮、旋钮开关、指示灯等接线及触点</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检修调试程序异常</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vMerge w:val="continue"/>
            <w:tcBorders>
              <w:tl2br w:val="nil"/>
              <w:tr2bl w:val="nil"/>
            </w:tcBorders>
            <w:vAlign w:val="center"/>
          </w:tcPr>
          <w:p>
            <w:pPr>
              <w:pStyle w:val="30"/>
            </w:pPr>
          </w:p>
        </w:tc>
        <w:tc>
          <w:tcPr>
            <w:tcW w:w="829" w:type="pct"/>
            <w:vMerge w:val="continue"/>
            <w:tcBorders>
              <w:tl2br w:val="nil"/>
              <w:tr2bl w:val="nil"/>
            </w:tcBorders>
            <w:vAlign w:val="center"/>
          </w:tcPr>
          <w:p>
            <w:pPr>
              <w:pStyle w:val="30"/>
            </w:pPr>
          </w:p>
        </w:tc>
        <w:tc>
          <w:tcPr>
            <w:tcW w:w="1853" w:type="pct"/>
            <w:tcBorders>
              <w:tl2br w:val="nil"/>
              <w:tr2bl w:val="nil"/>
            </w:tcBorders>
            <w:vAlign w:val="center"/>
          </w:tcPr>
          <w:p>
            <w:pPr>
              <w:pStyle w:val="30"/>
            </w:pPr>
            <w:r>
              <w:rPr>
                <w:rFonts w:hint="eastAsia"/>
              </w:rPr>
              <w:t>检查PLC 控制模板，并根据设备使用要求提供技术升级方案</w:t>
            </w:r>
          </w:p>
        </w:tc>
        <w:tc>
          <w:tcPr>
            <w:tcW w:w="1848" w:type="pct"/>
            <w:vMerge w:val="continue"/>
            <w:tcBorders>
              <w:tl2br w:val="nil"/>
              <w:tr2bl w:val="nil"/>
            </w:tcBorders>
            <w:vAlign w:val="center"/>
          </w:tcPr>
          <w:p>
            <w:pPr>
              <w:pStyle w:val="30"/>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tcBorders>
              <w:tl2br w:val="nil"/>
              <w:tr2bl w:val="nil"/>
            </w:tcBorders>
            <w:vAlign w:val="center"/>
          </w:tcPr>
          <w:p>
            <w:pPr>
              <w:pStyle w:val="30"/>
            </w:pPr>
            <w:r>
              <w:rPr>
                <w:rFonts w:hint="eastAsia"/>
              </w:rPr>
              <w:t>8</w:t>
            </w:r>
          </w:p>
        </w:tc>
        <w:tc>
          <w:tcPr>
            <w:tcW w:w="829" w:type="pct"/>
            <w:tcBorders>
              <w:tl2br w:val="nil"/>
              <w:tr2bl w:val="nil"/>
            </w:tcBorders>
            <w:vAlign w:val="center"/>
          </w:tcPr>
          <w:p>
            <w:pPr>
              <w:pStyle w:val="30"/>
            </w:pPr>
            <w:r>
              <w:rPr>
                <w:rFonts w:hint="eastAsia"/>
              </w:rPr>
              <w:t>除臭设备</w:t>
            </w:r>
          </w:p>
        </w:tc>
        <w:tc>
          <w:tcPr>
            <w:tcW w:w="1853" w:type="pct"/>
            <w:tcBorders>
              <w:tl2br w:val="nil"/>
              <w:tr2bl w:val="nil"/>
            </w:tcBorders>
            <w:vAlign w:val="center"/>
          </w:tcPr>
          <w:p>
            <w:pPr>
              <w:pStyle w:val="30"/>
            </w:pPr>
            <w:r>
              <w:rPr>
                <w:rFonts w:hint="eastAsia"/>
              </w:rPr>
              <w:t>除臭设备检查，离子发生器维修、紫外线灯管维修等</w:t>
            </w:r>
          </w:p>
        </w:tc>
        <w:tc>
          <w:tcPr>
            <w:tcW w:w="1848" w:type="pct"/>
            <w:tcBorders>
              <w:tl2br w:val="nil"/>
              <w:tr2bl w:val="nil"/>
            </w:tcBorders>
            <w:vAlign w:val="center"/>
          </w:tcPr>
          <w:p>
            <w:pPr>
              <w:pStyle w:val="30"/>
            </w:pPr>
            <w:r>
              <w:rPr>
                <w:rFonts w:hint="eastAsia"/>
              </w:rPr>
              <w:t>每个月至少一次；</w:t>
            </w:r>
            <w:r>
              <w:t xml:space="preserve">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tcBorders>
              <w:tl2br w:val="nil"/>
              <w:tr2bl w:val="nil"/>
            </w:tcBorders>
            <w:vAlign w:val="center"/>
          </w:tcPr>
          <w:p>
            <w:pPr>
              <w:pStyle w:val="30"/>
            </w:pPr>
            <w:r>
              <w:rPr>
                <w:rFonts w:hint="eastAsia"/>
              </w:rPr>
              <w:t>10</w:t>
            </w:r>
          </w:p>
        </w:tc>
        <w:tc>
          <w:tcPr>
            <w:tcW w:w="829" w:type="pct"/>
            <w:tcBorders>
              <w:tl2br w:val="nil"/>
              <w:tr2bl w:val="nil"/>
            </w:tcBorders>
            <w:vAlign w:val="center"/>
          </w:tcPr>
          <w:p>
            <w:pPr>
              <w:pStyle w:val="30"/>
            </w:pPr>
            <w:r>
              <w:rPr>
                <w:rFonts w:hint="eastAsia"/>
              </w:rPr>
              <w:t>其它</w:t>
            </w:r>
          </w:p>
        </w:tc>
        <w:tc>
          <w:tcPr>
            <w:tcW w:w="1853" w:type="pct"/>
            <w:tcBorders>
              <w:tl2br w:val="nil"/>
              <w:tr2bl w:val="nil"/>
            </w:tcBorders>
            <w:vAlign w:val="center"/>
          </w:tcPr>
          <w:p>
            <w:pPr>
              <w:pStyle w:val="30"/>
            </w:pPr>
            <w:r>
              <w:rPr>
                <w:rFonts w:hint="eastAsia"/>
              </w:rPr>
              <w:t>其它未提及的设备报修检修等项目</w:t>
            </w:r>
          </w:p>
        </w:tc>
        <w:tc>
          <w:tcPr>
            <w:tcW w:w="1848" w:type="pct"/>
            <w:tcBorders>
              <w:tl2br w:val="nil"/>
              <w:tr2bl w:val="nil"/>
            </w:tcBorders>
            <w:vAlign w:val="center"/>
          </w:tcPr>
          <w:p>
            <w:pPr>
              <w:pStyle w:val="30"/>
              <w:rPr>
                <w:color w:val="FF000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tcBorders>
              <w:tl2br w:val="nil"/>
              <w:tr2bl w:val="nil"/>
            </w:tcBorders>
            <w:vAlign w:val="center"/>
          </w:tcPr>
          <w:p>
            <w:pPr>
              <w:pStyle w:val="30"/>
            </w:pPr>
            <w:r>
              <w:rPr>
                <w:rFonts w:hint="eastAsia"/>
              </w:rPr>
              <w:t>11</w:t>
            </w:r>
          </w:p>
        </w:tc>
        <w:tc>
          <w:tcPr>
            <w:tcW w:w="829" w:type="pct"/>
            <w:tcBorders>
              <w:tl2br w:val="nil"/>
              <w:tr2bl w:val="nil"/>
            </w:tcBorders>
            <w:vAlign w:val="center"/>
          </w:tcPr>
          <w:p>
            <w:pPr>
              <w:pStyle w:val="30"/>
            </w:pPr>
            <w:r>
              <w:rPr>
                <w:rFonts w:hint="eastAsia"/>
              </w:rPr>
              <w:t>清洁卫生</w:t>
            </w:r>
          </w:p>
        </w:tc>
        <w:tc>
          <w:tcPr>
            <w:tcW w:w="1853" w:type="pct"/>
            <w:tcBorders>
              <w:tl2br w:val="nil"/>
              <w:tr2bl w:val="nil"/>
            </w:tcBorders>
            <w:vAlign w:val="center"/>
          </w:tcPr>
          <w:p>
            <w:pPr>
              <w:pStyle w:val="30"/>
            </w:pPr>
            <w:r>
              <w:rPr>
                <w:rFonts w:hint="eastAsia"/>
              </w:rPr>
              <w:t>打扫污水处理站，保持整齐、干净</w:t>
            </w:r>
          </w:p>
        </w:tc>
        <w:tc>
          <w:tcPr>
            <w:tcW w:w="1848" w:type="pct"/>
            <w:tcBorders>
              <w:tl2br w:val="nil"/>
              <w:tr2bl w:val="nil"/>
            </w:tcBorders>
            <w:vAlign w:val="center"/>
          </w:tcPr>
          <w:p>
            <w:pPr>
              <w:pStyle w:val="30"/>
            </w:pPr>
            <w:r>
              <w:rPr>
                <w:rFonts w:hint="eastAsia"/>
              </w:rPr>
              <w:t>每次来巡查时完成</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70" w:type="pct"/>
            <w:tcBorders>
              <w:tl2br w:val="nil"/>
              <w:tr2bl w:val="nil"/>
            </w:tcBorders>
            <w:vAlign w:val="center"/>
          </w:tcPr>
          <w:p>
            <w:pPr>
              <w:pStyle w:val="30"/>
            </w:pPr>
            <w:r>
              <w:rPr>
                <w:rFonts w:hint="eastAsia"/>
              </w:rPr>
              <w:t>12</w:t>
            </w:r>
          </w:p>
        </w:tc>
        <w:tc>
          <w:tcPr>
            <w:tcW w:w="829" w:type="pct"/>
            <w:tcBorders>
              <w:tl2br w:val="nil"/>
              <w:tr2bl w:val="nil"/>
            </w:tcBorders>
            <w:vAlign w:val="center"/>
          </w:tcPr>
          <w:p>
            <w:pPr>
              <w:pStyle w:val="30"/>
            </w:pPr>
            <w:r>
              <w:rPr>
                <w:rFonts w:hint="eastAsia"/>
              </w:rPr>
              <w:t>台账记录</w:t>
            </w:r>
          </w:p>
        </w:tc>
        <w:tc>
          <w:tcPr>
            <w:tcW w:w="1853" w:type="pct"/>
            <w:tcBorders>
              <w:tl2br w:val="nil"/>
              <w:tr2bl w:val="nil"/>
            </w:tcBorders>
            <w:vAlign w:val="center"/>
          </w:tcPr>
          <w:p>
            <w:pPr>
              <w:pStyle w:val="30"/>
            </w:pPr>
            <w:r>
              <w:rPr>
                <w:rFonts w:hint="eastAsia"/>
              </w:rPr>
              <w:t>每次按规范要求做好污水维保台账记录、并提供每次维修保养检查记录单作为备案资料</w:t>
            </w:r>
          </w:p>
        </w:tc>
        <w:tc>
          <w:tcPr>
            <w:tcW w:w="1848" w:type="pct"/>
            <w:tcBorders>
              <w:tl2br w:val="nil"/>
              <w:tr2bl w:val="nil"/>
            </w:tcBorders>
            <w:vAlign w:val="center"/>
          </w:tcPr>
          <w:p>
            <w:pPr>
              <w:pStyle w:val="30"/>
            </w:pPr>
            <w:r>
              <w:rPr>
                <w:rFonts w:hint="eastAsia"/>
              </w:rPr>
              <w:t>每次来巡查时完成</w:t>
            </w:r>
          </w:p>
        </w:tc>
      </w:tr>
      <w:tr>
        <w:tblPrEx>
          <w:tblCellMar>
            <w:top w:w="0" w:type="dxa"/>
            <w:left w:w="0" w:type="dxa"/>
            <w:bottom w:w="0" w:type="dxa"/>
            <w:right w:w="0" w:type="dxa"/>
          </w:tblCellMar>
        </w:tblPrEx>
        <w:trPr>
          <w:jc w:val="center"/>
        </w:trPr>
        <w:tc>
          <w:tcPr>
            <w:tcW w:w="470" w:type="pct"/>
            <w:tcBorders>
              <w:tl2br w:val="nil"/>
              <w:tr2bl w:val="nil"/>
            </w:tcBorders>
            <w:vAlign w:val="center"/>
          </w:tcPr>
          <w:p>
            <w:pPr>
              <w:pStyle w:val="30"/>
            </w:pPr>
            <w:r>
              <w:rPr>
                <w:rFonts w:hint="eastAsia"/>
              </w:rPr>
              <w:t>13</w:t>
            </w:r>
          </w:p>
        </w:tc>
        <w:tc>
          <w:tcPr>
            <w:tcW w:w="829" w:type="pct"/>
            <w:tcBorders>
              <w:tl2br w:val="nil"/>
              <w:tr2bl w:val="nil"/>
            </w:tcBorders>
            <w:vAlign w:val="center"/>
          </w:tcPr>
          <w:p>
            <w:pPr>
              <w:pStyle w:val="30"/>
            </w:pPr>
            <w:r>
              <w:rPr>
                <w:rFonts w:hint="eastAsia"/>
              </w:rPr>
              <w:t>配合工作</w:t>
            </w:r>
          </w:p>
        </w:tc>
        <w:tc>
          <w:tcPr>
            <w:tcW w:w="1853" w:type="pct"/>
            <w:tcBorders>
              <w:tl2br w:val="nil"/>
              <w:tr2bl w:val="nil"/>
            </w:tcBorders>
            <w:vAlign w:val="center"/>
          </w:tcPr>
          <w:p>
            <w:pPr>
              <w:pStyle w:val="30"/>
            </w:pPr>
            <w:r>
              <w:rPr>
                <w:rFonts w:hint="eastAsia"/>
              </w:rPr>
              <w:t>配合医院完成其他工作事宜，如应急预案演练和安全隐患排查等</w:t>
            </w:r>
          </w:p>
        </w:tc>
        <w:tc>
          <w:tcPr>
            <w:tcW w:w="1848" w:type="pct"/>
            <w:tcBorders>
              <w:tl2br w:val="nil"/>
              <w:tr2bl w:val="nil"/>
            </w:tcBorders>
            <w:vAlign w:val="center"/>
          </w:tcPr>
          <w:p>
            <w:pPr>
              <w:pStyle w:val="30"/>
            </w:pPr>
            <w:r>
              <w:rPr>
                <w:rFonts w:hint="eastAsia"/>
              </w:rPr>
              <w:t>每年一次</w:t>
            </w:r>
          </w:p>
        </w:tc>
      </w:tr>
    </w:tbl>
    <w:p>
      <w:pPr>
        <w:pStyle w:val="6"/>
      </w:pPr>
      <w:bookmarkStart w:id="1" w:name="_Toc31418"/>
    </w:p>
    <w:p>
      <w:pPr>
        <w:pStyle w:val="6"/>
      </w:pPr>
      <w:r>
        <w:rPr>
          <w:rFonts w:hint="eastAsia"/>
        </w:rPr>
        <w:t>污染源在线监测系统维保</w:t>
      </w:r>
      <w:bookmarkEnd w:id="1"/>
    </w:p>
    <w:p>
      <w:pPr>
        <w:ind w:firstLine="480"/>
      </w:pPr>
      <w:r>
        <w:rPr>
          <w:rFonts w:hint="eastAsia"/>
        </w:rPr>
        <w:t>1.日常维护：一周一次维护，持证（自动监控（污废水）运行工）上岗，采样管路清洗，24小时应急响应，报修后4小时内应到场维修。</w:t>
      </w:r>
    </w:p>
    <w:p>
      <w:pPr>
        <w:ind w:firstLine="480"/>
      </w:pPr>
      <w:r>
        <w:rPr>
          <w:rFonts w:hint="eastAsia"/>
        </w:rPr>
        <w:t>2.包含所有配件，耗材，常用备品备件更换（含管、阀、连接件等），质控校验等所用费用。（PH计传感器每年更换一次，余氯检测传感器每年更换一次，包含废液处理费用。）</w:t>
      </w:r>
    </w:p>
    <w:p>
      <w:pPr>
        <w:ind w:firstLine="480"/>
      </w:pPr>
      <w:r>
        <w:rPr>
          <w:rFonts w:hint="eastAsia"/>
        </w:rPr>
        <w:t>3.对比检测，费用含在本次投标报价中。每月一次，如cod,氨氮，PH对比等</w:t>
      </w:r>
    </w:p>
    <w:p>
      <w:pPr>
        <w:ind w:firstLine="480"/>
      </w:pPr>
      <w:r>
        <w:rPr>
          <w:rFonts w:hint="eastAsia"/>
        </w:rPr>
        <w:t>4.计量检测，费用含在本次投标报价中。需第三方检测机构每年一次检测。</w:t>
      </w:r>
    </w:p>
    <w:p>
      <w:pPr>
        <w:ind w:firstLine="480"/>
      </w:pPr>
      <w:r>
        <w:rPr>
          <w:rFonts w:hint="eastAsia"/>
        </w:rPr>
        <w:t>5.具体要求：</w:t>
      </w:r>
    </w:p>
    <w:tbl>
      <w:tblPr>
        <w:tblStyle w:val="15"/>
        <w:tblW w:w="5127" w:type="pct"/>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10"/>
        <w:gridCol w:w="1569"/>
        <w:gridCol w:w="8374"/>
      </w:tblGrid>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1" w:type="pct"/>
            <w:tcBorders>
              <w:tl2br w:val="nil"/>
              <w:tr2bl w:val="nil"/>
            </w:tcBorders>
            <w:vAlign w:val="center"/>
          </w:tcPr>
          <w:p>
            <w:pPr>
              <w:pStyle w:val="30"/>
            </w:pPr>
            <w:r>
              <w:rPr>
                <w:rFonts w:hint="eastAsia"/>
              </w:rPr>
              <w:t>序号</w:t>
            </w:r>
          </w:p>
        </w:tc>
        <w:tc>
          <w:tcPr>
            <w:tcW w:w="716" w:type="pct"/>
            <w:tcBorders>
              <w:tl2br w:val="nil"/>
              <w:tr2bl w:val="nil"/>
            </w:tcBorders>
            <w:vAlign w:val="center"/>
          </w:tcPr>
          <w:p>
            <w:pPr>
              <w:pStyle w:val="30"/>
            </w:pPr>
            <w:r>
              <w:rPr>
                <w:rFonts w:hint="eastAsia"/>
              </w:rPr>
              <w:t>需求项目</w:t>
            </w:r>
          </w:p>
        </w:tc>
        <w:tc>
          <w:tcPr>
            <w:tcW w:w="3822" w:type="pct"/>
            <w:tcBorders>
              <w:tl2br w:val="nil"/>
              <w:tr2bl w:val="nil"/>
            </w:tcBorders>
            <w:vAlign w:val="center"/>
          </w:tcPr>
          <w:p>
            <w:pPr>
              <w:pStyle w:val="30"/>
            </w:pPr>
            <w:r>
              <w:rPr>
                <w:rFonts w:hint="eastAsia"/>
              </w:rPr>
              <w:t>内容</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1" w:type="pct"/>
            <w:tcBorders>
              <w:tl2br w:val="nil"/>
              <w:tr2bl w:val="nil"/>
            </w:tcBorders>
            <w:vAlign w:val="center"/>
          </w:tcPr>
          <w:p>
            <w:pPr>
              <w:pStyle w:val="30"/>
            </w:pPr>
            <w:r>
              <w:rPr>
                <w:rFonts w:hint="eastAsia"/>
              </w:rPr>
              <w:t>1</w:t>
            </w:r>
          </w:p>
        </w:tc>
        <w:tc>
          <w:tcPr>
            <w:tcW w:w="716" w:type="pct"/>
            <w:tcBorders>
              <w:tl2br w:val="nil"/>
              <w:tr2bl w:val="nil"/>
            </w:tcBorders>
            <w:vAlign w:val="center"/>
          </w:tcPr>
          <w:p>
            <w:pPr>
              <w:pStyle w:val="30"/>
            </w:pPr>
            <w:r>
              <w:rPr>
                <w:rFonts w:hint="eastAsia"/>
              </w:rPr>
              <w:t>日用耗材</w:t>
            </w:r>
          </w:p>
        </w:tc>
        <w:tc>
          <w:tcPr>
            <w:tcW w:w="3822" w:type="pct"/>
            <w:tcBorders>
              <w:tl2br w:val="nil"/>
              <w:tr2bl w:val="nil"/>
            </w:tcBorders>
            <w:vAlign w:val="center"/>
          </w:tcPr>
          <w:p>
            <w:pPr>
              <w:pStyle w:val="30"/>
            </w:pPr>
            <w:r>
              <w:rPr>
                <w:rFonts w:hint="eastAsia"/>
              </w:rPr>
              <w:t>COD、氨氮在线检测仪试剂等</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1" w:type="pct"/>
            <w:tcBorders>
              <w:tl2br w:val="nil"/>
              <w:tr2bl w:val="nil"/>
            </w:tcBorders>
            <w:vAlign w:val="center"/>
          </w:tcPr>
          <w:p>
            <w:pPr>
              <w:pStyle w:val="30"/>
            </w:pPr>
            <w:r>
              <w:rPr>
                <w:rFonts w:hint="eastAsia"/>
              </w:rPr>
              <w:t>2</w:t>
            </w:r>
          </w:p>
        </w:tc>
        <w:tc>
          <w:tcPr>
            <w:tcW w:w="716" w:type="pct"/>
            <w:tcBorders>
              <w:tl2br w:val="nil"/>
              <w:tr2bl w:val="nil"/>
            </w:tcBorders>
            <w:vAlign w:val="center"/>
          </w:tcPr>
          <w:p>
            <w:pPr>
              <w:pStyle w:val="30"/>
            </w:pPr>
            <w:r>
              <w:rPr>
                <w:rFonts w:hint="eastAsia"/>
              </w:rPr>
              <w:t>质控校准</w:t>
            </w:r>
          </w:p>
        </w:tc>
        <w:tc>
          <w:tcPr>
            <w:tcW w:w="3822" w:type="pct"/>
            <w:tcBorders>
              <w:tl2br w:val="nil"/>
              <w:tr2bl w:val="nil"/>
            </w:tcBorders>
            <w:vAlign w:val="center"/>
          </w:tcPr>
          <w:p>
            <w:pPr>
              <w:pStyle w:val="30"/>
            </w:pPr>
            <w:r>
              <w:rPr>
                <w:rFonts w:hint="eastAsia"/>
              </w:rPr>
              <w:t>COD、氨氮、pH、总氯在线检测仪质控、校准标液</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1" w:type="pct"/>
            <w:tcBorders>
              <w:tl2br w:val="nil"/>
              <w:tr2bl w:val="nil"/>
            </w:tcBorders>
            <w:vAlign w:val="center"/>
          </w:tcPr>
          <w:p>
            <w:pPr>
              <w:pStyle w:val="30"/>
            </w:pPr>
            <w:r>
              <w:rPr>
                <w:rFonts w:hint="eastAsia"/>
              </w:rPr>
              <w:t>3</w:t>
            </w:r>
          </w:p>
        </w:tc>
        <w:tc>
          <w:tcPr>
            <w:tcW w:w="716" w:type="pct"/>
            <w:tcBorders>
              <w:tl2br w:val="nil"/>
              <w:tr2bl w:val="nil"/>
            </w:tcBorders>
            <w:vAlign w:val="center"/>
          </w:tcPr>
          <w:p>
            <w:pPr>
              <w:pStyle w:val="30"/>
            </w:pPr>
            <w:r>
              <w:rPr>
                <w:rFonts w:hint="eastAsia"/>
              </w:rPr>
              <w:t>三方比对</w:t>
            </w:r>
          </w:p>
        </w:tc>
        <w:tc>
          <w:tcPr>
            <w:tcW w:w="3822" w:type="pct"/>
            <w:tcBorders>
              <w:tl2br w:val="nil"/>
              <w:tr2bl w:val="nil"/>
            </w:tcBorders>
            <w:vAlign w:val="center"/>
          </w:tcPr>
          <w:p>
            <w:pPr>
              <w:pStyle w:val="30"/>
            </w:pPr>
            <w:r>
              <w:rPr>
                <w:rFonts w:hint="eastAsia"/>
              </w:rPr>
              <w:t>指标COD、氨氮、pH比对测试</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1" w:type="pct"/>
            <w:tcBorders>
              <w:tl2br w:val="nil"/>
              <w:tr2bl w:val="nil"/>
            </w:tcBorders>
            <w:vAlign w:val="center"/>
          </w:tcPr>
          <w:p>
            <w:pPr>
              <w:pStyle w:val="30"/>
            </w:pPr>
            <w:r>
              <w:rPr>
                <w:rFonts w:hint="eastAsia"/>
              </w:rPr>
              <w:t>4</w:t>
            </w:r>
          </w:p>
        </w:tc>
        <w:tc>
          <w:tcPr>
            <w:tcW w:w="716" w:type="pct"/>
            <w:tcBorders>
              <w:tl2br w:val="nil"/>
              <w:tr2bl w:val="nil"/>
            </w:tcBorders>
            <w:vAlign w:val="center"/>
          </w:tcPr>
          <w:p>
            <w:pPr>
              <w:pStyle w:val="30"/>
            </w:pPr>
            <w:r>
              <w:rPr>
                <w:rFonts w:hint="eastAsia"/>
              </w:rPr>
              <w:t>备品备件</w:t>
            </w:r>
          </w:p>
        </w:tc>
        <w:tc>
          <w:tcPr>
            <w:tcW w:w="3822" w:type="pct"/>
            <w:tcBorders>
              <w:tl2br w:val="nil"/>
              <w:tr2bl w:val="nil"/>
            </w:tcBorders>
            <w:vAlign w:val="center"/>
          </w:tcPr>
          <w:p>
            <w:pPr>
              <w:pStyle w:val="30"/>
            </w:pPr>
            <w:r>
              <w:rPr>
                <w:rFonts w:hint="eastAsia"/>
              </w:rPr>
              <w:t>COD、氨氮、pH、总余氯在线监测设备、流量计、数采仪、采样器、视频门禁</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1" w:type="pct"/>
            <w:tcBorders>
              <w:tl2br w:val="nil"/>
              <w:tr2bl w:val="nil"/>
            </w:tcBorders>
            <w:vAlign w:val="center"/>
          </w:tcPr>
          <w:p>
            <w:pPr>
              <w:pStyle w:val="30"/>
            </w:pPr>
            <w:r>
              <w:rPr>
                <w:rFonts w:hint="eastAsia"/>
              </w:rPr>
              <w:t>5</w:t>
            </w:r>
          </w:p>
        </w:tc>
        <w:tc>
          <w:tcPr>
            <w:tcW w:w="716" w:type="pct"/>
            <w:tcBorders>
              <w:tl2br w:val="nil"/>
              <w:tr2bl w:val="nil"/>
            </w:tcBorders>
            <w:vAlign w:val="center"/>
          </w:tcPr>
          <w:p>
            <w:pPr>
              <w:pStyle w:val="30"/>
            </w:pPr>
            <w:r>
              <w:rPr>
                <w:rFonts w:hint="eastAsia"/>
              </w:rPr>
              <w:t>应急响应</w:t>
            </w:r>
          </w:p>
        </w:tc>
        <w:tc>
          <w:tcPr>
            <w:tcW w:w="3822" w:type="pct"/>
            <w:tcBorders>
              <w:tl2br w:val="nil"/>
              <w:tr2bl w:val="nil"/>
            </w:tcBorders>
            <w:vAlign w:val="center"/>
          </w:tcPr>
          <w:p>
            <w:pPr>
              <w:pStyle w:val="30"/>
            </w:pPr>
            <w:r>
              <w:rPr>
                <w:rFonts w:hint="eastAsia"/>
              </w:rPr>
              <w:t>异常超标处理配合工作</w:t>
            </w:r>
          </w:p>
        </w:tc>
      </w:tr>
    </w:tbl>
    <w:p>
      <w:pPr>
        <w:pStyle w:val="7"/>
      </w:pPr>
      <w:bookmarkStart w:id="2" w:name="_Toc26735"/>
      <w:bookmarkStart w:id="3" w:name="_Toc19334"/>
      <w:bookmarkStart w:id="4" w:name="_Toc20798"/>
      <w:r>
        <w:t>基本要求</w:t>
      </w:r>
      <w:bookmarkEnd w:id="2"/>
      <w:bookmarkEnd w:id="3"/>
      <w:bookmarkEnd w:id="4"/>
    </w:p>
    <w:p>
      <w:pPr>
        <w:pStyle w:val="31"/>
        <w:rPr>
          <w:rFonts w:ascii="Times New Roman" w:hAnsi="Times New Roman" w:cs="Times New Roman"/>
        </w:rPr>
      </w:pPr>
      <w:r>
        <w:rPr>
          <w:rFonts w:ascii="Times New Roman" w:hAnsi="Times New Roman" w:cs="Times New Roman"/>
        </w:rPr>
        <w:t>建立运行维护质量管理体系，制定运行维护制度规程，配备专业技术人员、仪器装备和保障设施。通过污染源自动监控平台实时查看在线监测数据和设备运行状态，对小时数据有效性进行判别，及时标记异常数据并上传凭证。根据水质自动分析仪说明书、测量原理、运行环境以及水污染源废水排放特点，制定水污染源在线监测系统日常运行维护规程。按照运行维护规程开展日常运行维护工作并做好记录，其中未明确运行维护频次的时间间隔不超过7天，水质自动分析仪不能满足技术指标要求而失控的，应缩短运行维护的间隔时间。</w:t>
      </w:r>
    </w:p>
    <w:p>
      <w:pPr>
        <w:pStyle w:val="7"/>
      </w:pPr>
      <w:bookmarkStart w:id="5" w:name="_Toc20064"/>
      <w:bookmarkStart w:id="6" w:name="_Toc9183"/>
      <w:bookmarkStart w:id="7" w:name="_Toc26870"/>
      <w:r>
        <w:t>废水在线监测系统日常维护</w:t>
      </w:r>
      <w:bookmarkEnd w:id="5"/>
      <w:bookmarkEnd w:id="6"/>
      <w:bookmarkEnd w:id="7"/>
    </w:p>
    <w:p>
      <w:pPr>
        <w:pStyle w:val="31"/>
        <w:rPr>
          <w:rFonts w:ascii="Times New Roman" w:hAnsi="Times New Roman" w:cs="Times New Roman"/>
        </w:rPr>
      </w:pPr>
      <w:r>
        <w:rPr>
          <w:rFonts w:ascii="Times New Roman" w:hAnsi="Times New Roman" w:cs="Times New Roman"/>
        </w:rPr>
        <w:t>每日上午下午二次远程检查仪器运行状态，检查数据传输系统是否正常，如发现数据有持续性异常情况，应立即前往污染源在线监测房对仪器进行检查。</w:t>
      </w:r>
    </w:p>
    <w:p>
      <w:pPr>
        <w:pStyle w:val="7"/>
      </w:pPr>
      <w:bookmarkStart w:id="8" w:name="_Toc18798"/>
      <w:bookmarkStart w:id="9" w:name="_Toc9539"/>
      <w:bookmarkStart w:id="10" w:name="_Toc21321"/>
      <w:r>
        <w:t>流量计运行维护</w:t>
      </w:r>
      <w:bookmarkEnd w:id="8"/>
      <w:bookmarkEnd w:id="9"/>
      <w:bookmarkEnd w:id="10"/>
    </w:p>
    <w:p>
      <w:pPr>
        <w:pStyle w:val="31"/>
        <w:rPr>
          <w:rFonts w:ascii="Times New Roman" w:hAnsi="Times New Roman" w:cs="Times New Roman"/>
        </w:rPr>
      </w:pPr>
      <w:r>
        <w:rPr>
          <w:rFonts w:ascii="Times New Roman" w:hAnsi="Times New Roman" w:cs="Times New Roman"/>
        </w:rPr>
        <w:t>明渠流量计运行维护：检查量水堰槽，应无变形、腐蚀、损坏，堰槽水流状态应为自由流，排水通畅；检查超声波探头，应安装固定牢靠，确保探头与水面之间无干扰测量的物体，清理堰体内影响流量测定的干扰物；检查流量计参数，流量计量水堰槽型号、尺寸参数、探头距离设置应与实际一致。</w:t>
      </w:r>
    </w:p>
    <w:p>
      <w:pPr>
        <w:pStyle w:val="7"/>
      </w:pPr>
      <w:bookmarkStart w:id="11" w:name="_Toc16621"/>
      <w:bookmarkStart w:id="12" w:name="_Toc26720"/>
      <w:bookmarkStart w:id="13" w:name="_Toc5375"/>
      <w:r>
        <w:t>校准和比对试验</w:t>
      </w:r>
      <w:bookmarkEnd w:id="11"/>
      <w:bookmarkEnd w:id="12"/>
      <w:bookmarkEnd w:id="13"/>
    </w:p>
    <w:p>
      <w:pPr>
        <w:tabs>
          <w:tab w:val="left" w:pos="0"/>
        </w:tabs>
        <w:ind w:firstLine="480"/>
        <w:rPr>
          <w:color w:val="000000"/>
          <w:szCs w:val="24"/>
        </w:rPr>
      </w:pPr>
      <w:r>
        <w:rPr>
          <w:color w:val="000000"/>
          <w:szCs w:val="24"/>
        </w:rPr>
        <w:t>每周至少对化学需氧量（CODCr）、氨氮（NH3-N）等水质自动分析仪进行一次自动标样核查，结果应满足技术规范要求，如果不符合要求则应对仪器进行校准，校准周期最长间隔不得超过168h，自动标样核查和自动校准方法按照HJ355相关要求执行。</w:t>
      </w:r>
    </w:p>
    <w:p>
      <w:pPr>
        <w:tabs>
          <w:tab w:val="left" w:pos="0"/>
        </w:tabs>
        <w:ind w:firstLine="480"/>
        <w:rPr>
          <w:color w:val="000000"/>
          <w:szCs w:val="24"/>
        </w:rPr>
      </w:pPr>
      <w:r>
        <w:rPr>
          <w:color w:val="000000"/>
          <w:szCs w:val="24"/>
        </w:rPr>
        <w:t>每月至少对化学需氧量（CODCr）、氨氮（NH3-N）、总余氯、pH水质自动分析仪及流量计进行一次比对试验，结果应满足技术规范要求，比对试验方法按照HJ355相关要求执行。</w:t>
      </w:r>
    </w:p>
    <w:p>
      <w:pPr>
        <w:pStyle w:val="7"/>
      </w:pPr>
      <w:bookmarkStart w:id="14" w:name="_Toc31577"/>
      <w:bookmarkStart w:id="15" w:name="_Toc29246"/>
      <w:bookmarkStart w:id="16" w:name="_Toc9108"/>
      <w:r>
        <w:t>异常处理</w:t>
      </w:r>
      <w:bookmarkEnd w:id="14"/>
      <w:bookmarkEnd w:id="15"/>
      <w:bookmarkEnd w:id="16"/>
    </w:p>
    <w:p>
      <w:pPr>
        <w:tabs>
          <w:tab w:val="left" w:pos="0"/>
        </w:tabs>
        <w:ind w:firstLine="480"/>
        <w:rPr>
          <w:szCs w:val="24"/>
        </w:rPr>
      </w:pPr>
      <w:r>
        <w:rPr>
          <w:szCs w:val="24"/>
        </w:rPr>
        <w:t>8:00～18:00时间段内水污染源在线监测系统故障或数据异常的，应2小时内赶到现场进行故障排除；其他时间段，应次日9:30之前到达现场进行故障排除；</w:t>
      </w:r>
    </w:p>
    <w:p>
      <w:pPr>
        <w:tabs>
          <w:tab w:val="left" w:pos="0"/>
        </w:tabs>
        <w:ind w:firstLine="480"/>
        <w:rPr>
          <w:szCs w:val="24"/>
        </w:rPr>
      </w:pPr>
      <w:r>
        <w:rPr>
          <w:szCs w:val="24"/>
        </w:rPr>
        <w:t>水污染源在线监测系统故障或数据异常，应在12小时内将相关情况上报污染源自动监控平台，对相应时段数据进行标记；</w:t>
      </w:r>
    </w:p>
    <w:p>
      <w:pPr>
        <w:tabs>
          <w:tab w:val="left" w:pos="0"/>
        </w:tabs>
        <w:ind w:firstLine="480"/>
        <w:rPr>
          <w:color w:val="000000"/>
          <w:szCs w:val="24"/>
        </w:rPr>
      </w:pPr>
      <w:r>
        <w:rPr>
          <w:szCs w:val="24"/>
        </w:rPr>
        <w:t>对电磁阀控制失灵、泵损坏、管路堵塞、电</w:t>
      </w:r>
      <w:r>
        <w:rPr>
          <w:color w:val="000000"/>
          <w:szCs w:val="24"/>
        </w:rPr>
        <w:t>源故障、数据采集传输故障等一般故障，应在6小时内修复；</w:t>
      </w:r>
    </w:p>
    <w:p>
      <w:pPr>
        <w:tabs>
          <w:tab w:val="left" w:pos="0"/>
        </w:tabs>
        <w:ind w:firstLine="480"/>
        <w:rPr>
          <w:color w:val="000000"/>
          <w:szCs w:val="24"/>
        </w:rPr>
      </w:pPr>
      <w:r>
        <w:rPr>
          <w:color w:val="000000"/>
          <w:szCs w:val="24"/>
        </w:rPr>
        <w:t>水污染源在线监测系统不能正常运行超过6小时，应组织开展人工监测，监测周期间隔不大于6小时，每天不少于4次；水污染源在线监测系统不能正常运行超过72小时，应安装备用仪器。备用仪器投入使用之前应按要求进行校准和比对试验；</w:t>
      </w:r>
    </w:p>
    <w:p>
      <w:pPr>
        <w:tabs>
          <w:tab w:val="left" w:pos="0"/>
        </w:tabs>
        <w:ind w:firstLine="480"/>
        <w:rPr>
          <w:color w:val="000000"/>
          <w:szCs w:val="24"/>
        </w:rPr>
      </w:pPr>
      <w:r>
        <w:rPr>
          <w:color w:val="000000"/>
          <w:szCs w:val="24"/>
        </w:rPr>
        <w:t>因水污染源停运同时按规定停运在线监测系统的，应在水污染源启运之前启运在线监测系统，并进行校准校验。</w:t>
      </w:r>
    </w:p>
    <w:p>
      <w:pPr>
        <w:pStyle w:val="7"/>
      </w:pPr>
      <w:bookmarkStart w:id="17" w:name="_Toc17721"/>
      <w:bookmarkStart w:id="18" w:name="_Toc11134"/>
      <w:bookmarkStart w:id="19" w:name="_Toc16520"/>
      <w:r>
        <w:t>废液处理收集处置</w:t>
      </w:r>
      <w:bookmarkEnd w:id="17"/>
      <w:bookmarkEnd w:id="18"/>
      <w:bookmarkEnd w:id="19"/>
    </w:p>
    <w:p>
      <w:pPr>
        <w:tabs>
          <w:tab w:val="left" w:pos="0"/>
        </w:tabs>
        <w:ind w:firstLine="480"/>
        <w:rPr>
          <w:color w:val="000000"/>
          <w:szCs w:val="24"/>
        </w:rPr>
      </w:pPr>
      <w:r>
        <w:rPr>
          <w:color w:val="000000"/>
          <w:szCs w:val="24"/>
        </w:rPr>
        <w:t>水污染源在线监测仪器产生的废液应按照国家相关法律法规按危险废物（HW49）妥善处置，并做好记录，不得随意排放或回流入污水排放口。</w:t>
      </w:r>
    </w:p>
    <w:p>
      <w:pPr>
        <w:pStyle w:val="7"/>
      </w:pPr>
      <w:bookmarkStart w:id="20" w:name="_Toc31362"/>
      <w:bookmarkStart w:id="21" w:name="_Toc4608"/>
      <w:r>
        <w:t>运行维护其他要求</w:t>
      </w:r>
      <w:bookmarkEnd w:id="20"/>
      <w:bookmarkEnd w:id="21"/>
    </w:p>
    <w:p>
      <w:pPr>
        <w:tabs>
          <w:tab w:val="left" w:pos="0"/>
        </w:tabs>
        <w:ind w:firstLine="480"/>
        <w:rPr>
          <w:color w:val="000000"/>
          <w:szCs w:val="24"/>
        </w:rPr>
      </w:pPr>
      <w:r>
        <w:rPr>
          <w:color w:val="000000"/>
          <w:szCs w:val="24"/>
        </w:rPr>
        <w:t>1、选派专业人员进行系统维护（1次/周、持证上岗）；</w:t>
      </w:r>
    </w:p>
    <w:p>
      <w:pPr>
        <w:tabs>
          <w:tab w:val="left" w:pos="0"/>
        </w:tabs>
        <w:ind w:firstLine="480"/>
        <w:rPr>
          <w:color w:val="000000"/>
          <w:szCs w:val="24"/>
        </w:rPr>
      </w:pPr>
      <w:r>
        <w:rPr>
          <w:color w:val="000000"/>
          <w:szCs w:val="24"/>
        </w:rPr>
        <w:t>2、负责检测试剂更换及采购；</w:t>
      </w:r>
    </w:p>
    <w:p>
      <w:pPr>
        <w:tabs>
          <w:tab w:val="left" w:pos="0"/>
        </w:tabs>
        <w:ind w:firstLine="480"/>
        <w:rPr>
          <w:color w:val="000000"/>
          <w:szCs w:val="24"/>
        </w:rPr>
      </w:pPr>
      <w:r>
        <w:rPr>
          <w:color w:val="000000"/>
          <w:szCs w:val="24"/>
        </w:rPr>
        <w:t>3、负责损耗品更换（PH计传感器更换1次/年、余氯检测传感器更换1次/年等）；</w:t>
      </w:r>
    </w:p>
    <w:p>
      <w:pPr>
        <w:tabs>
          <w:tab w:val="left" w:pos="0"/>
        </w:tabs>
        <w:ind w:firstLine="480"/>
        <w:rPr>
          <w:color w:val="000000"/>
          <w:szCs w:val="24"/>
        </w:rPr>
      </w:pPr>
      <w:r>
        <w:rPr>
          <w:color w:val="000000"/>
          <w:szCs w:val="24"/>
        </w:rPr>
        <w:t>4、负责常规备品备件更换（含管、阀、连接件等）；</w:t>
      </w:r>
    </w:p>
    <w:p>
      <w:pPr>
        <w:tabs>
          <w:tab w:val="left" w:pos="0"/>
        </w:tabs>
        <w:ind w:firstLine="480"/>
        <w:rPr>
          <w:color w:val="000000"/>
          <w:szCs w:val="24"/>
        </w:rPr>
      </w:pPr>
      <w:r>
        <w:rPr>
          <w:color w:val="000000"/>
          <w:szCs w:val="24"/>
        </w:rPr>
        <w:t>5、主要日常维护：采样管路清洗1次/周、化学需氧量（CODCr）、氨氮（NH3-N）等水质自动分析仪自动标样核查1次/周、电极填充液更换、日常设备巡检、告警记录与故障排除等；</w:t>
      </w:r>
    </w:p>
    <w:p>
      <w:pPr>
        <w:tabs>
          <w:tab w:val="left" w:pos="0"/>
        </w:tabs>
        <w:ind w:firstLine="480"/>
        <w:rPr>
          <w:color w:val="000000"/>
          <w:szCs w:val="24"/>
        </w:rPr>
      </w:pPr>
      <w:r>
        <w:rPr>
          <w:color w:val="000000"/>
          <w:szCs w:val="24"/>
        </w:rPr>
        <w:t>6、负责监测试剂废液的处理。</w:t>
      </w:r>
    </w:p>
    <w:p>
      <w:pPr>
        <w:pStyle w:val="7"/>
      </w:pPr>
      <w:bookmarkStart w:id="22" w:name="_Toc7601"/>
      <w:bookmarkStart w:id="23" w:name="_Toc24218"/>
      <w:r>
        <w:t>日常维护要求</w:t>
      </w:r>
      <w:bookmarkEnd w:id="22"/>
      <w:bookmarkEnd w:id="23"/>
    </w:p>
    <w:tbl>
      <w:tblPr>
        <w:tblStyle w:val="15"/>
        <w:tblW w:w="4998"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809"/>
        <w:gridCol w:w="2161"/>
        <w:gridCol w:w="1964"/>
        <w:gridCol w:w="554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tblHeader/>
          <w:jc w:val="center"/>
        </w:trPr>
        <w:tc>
          <w:tcPr>
            <w:tcW w:w="386" w:type="pct"/>
            <w:vAlign w:val="center"/>
          </w:tcPr>
          <w:p>
            <w:pPr>
              <w:pStyle w:val="32"/>
              <w:spacing w:line="240" w:lineRule="auto"/>
              <w:ind w:firstLine="0" w:firstLineChars="0"/>
              <w:rPr>
                <w:b/>
                <w:szCs w:val="24"/>
              </w:rPr>
            </w:pPr>
            <w:r>
              <w:rPr>
                <w:b/>
                <w:szCs w:val="24"/>
              </w:rPr>
              <w:t>序号</w:t>
            </w:r>
          </w:p>
        </w:tc>
        <w:tc>
          <w:tcPr>
            <w:tcW w:w="1031" w:type="pct"/>
            <w:vAlign w:val="center"/>
          </w:tcPr>
          <w:p>
            <w:pPr>
              <w:pStyle w:val="32"/>
              <w:spacing w:line="240" w:lineRule="auto"/>
              <w:ind w:firstLine="0" w:firstLineChars="0"/>
              <w:rPr>
                <w:b/>
                <w:szCs w:val="24"/>
              </w:rPr>
            </w:pPr>
            <w:r>
              <w:rPr>
                <w:b/>
                <w:szCs w:val="24"/>
              </w:rPr>
              <w:t>运维项目</w:t>
            </w:r>
          </w:p>
        </w:tc>
        <w:tc>
          <w:tcPr>
            <w:tcW w:w="937" w:type="pct"/>
            <w:vAlign w:val="center"/>
          </w:tcPr>
          <w:p>
            <w:pPr>
              <w:pStyle w:val="32"/>
              <w:spacing w:line="240" w:lineRule="auto"/>
              <w:ind w:firstLine="0" w:firstLineChars="0"/>
              <w:rPr>
                <w:b/>
                <w:szCs w:val="24"/>
              </w:rPr>
            </w:pPr>
            <w:r>
              <w:rPr>
                <w:b/>
                <w:szCs w:val="24"/>
              </w:rPr>
              <w:t>运维频次要求</w:t>
            </w:r>
          </w:p>
        </w:tc>
        <w:tc>
          <w:tcPr>
            <w:tcW w:w="2644" w:type="pct"/>
            <w:vAlign w:val="center"/>
          </w:tcPr>
          <w:p>
            <w:pPr>
              <w:pStyle w:val="32"/>
              <w:spacing w:line="240" w:lineRule="auto"/>
              <w:ind w:firstLine="0" w:firstLineChars="0"/>
              <w:rPr>
                <w:b/>
                <w:szCs w:val="24"/>
              </w:rPr>
            </w:pPr>
            <w:r>
              <w:rPr>
                <w:b/>
                <w:szCs w:val="24"/>
              </w:rPr>
              <w:t>内容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0" w:hRule="atLeast"/>
          <w:jc w:val="center"/>
        </w:trPr>
        <w:tc>
          <w:tcPr>
            <w:tcW w:w="386" w:type="pct"/>
            <w:vAlign w:val="center"/>
          </w:tcPr>
          <w:p>
            <w:pPr>
              <w:pStyle w:val="32"/>
              <w:spacing w:line="240" w:lineRule="auto"/>
              <w:ind w:firstLine="0" w:firstLineChars="0"/>
              <w:rPr>
                <w:szCs w:val="24"/>
              </w:rPr>
            </w:pPr>
            <w:r>
              <w:rPr>
                <w:szCs w:val="24"/>
              </w:rPr>
              <w:t>1</w:t>
            </w:r>
          </w:p>
        </w:tc>
        <w:tc>
          <w:tcPr>
            <w:tcW w:w="1031" w:type="pct"/>
            <w:vAlign w:val="center"/>
          </w:tcPr>
          <w:p>
            <w:pPr>
              <w:pStyle w:val="32"/>
              <w:spacing w:line="240" w:lineRule="auto"/>
              <w:ind w:firstLine="0" w:firstLineChars="0"/>
              <w:rPr>
                <w:szCs w:val="24"/>
              </w:rPr>
            </w:pPr>
            <w:r>
              <w:rPr>
                <w:szCs w:val="24"/>
              </w:rPr>
              <w:t>COD分析仪维护</w:t>
            </w:r>
          </w:p>
        </w:tc>
        <w:tc>
          <w:tcPr>
            <w:tcW w:w="937" w:type="pct"/>
            <w:vAlign w:val="center"/>
          </w:tcPr>
          <w:p>
            <w:pPr>
              <w:pStyle w:val="32"/>
              <w:spacing w:line="240" w:lineRule="auto"/>
              <w:ind w:firstLine="0" w:firstLineChars="0"/>
              <w:rPr>
                <w:szCs w:val="24"/>
              </w:rPr>
            </w:pPr>
            <w:r>
              <w:rPr>
                <w:szCs w:val="24"/>
              </w:rPr>
              <w:t>1次/周</w:t>
            </w:r>
          </w:p>
        </w:tc>
        <w:tc>
          <w:tcPr>
            <w:tcW w:w="2644" w:type="pct"/>
            <w:vAlign w:val="center"/>
          </w:tcPr>
          <w:p>
            <w:pPr>
              <w:pStyle w:val="32"/>
              <w:numPr>
                <w:ilvl w:val="0"/>
                <w:numId w:val="1"/>
              </w:numPr>
              <w:tabs>
                <w:tab w:val="left" w:pos="469"/>
              </w:tabs>
              <w:spacing w:line="240" w:lineRule="auto"/>
              <w:ind w:left="0" w:firstLine="0" w:firstLineChars="0"/>
              <w:jc w:val="both"/>
              <w:rPr>
                <w:szCs w:val="24"/>
              </w:rPr>
            </w:pPr>
            <w:r>
              <w:rPr>
                <w:szCs w:val="24"/>
              </w:rPr>
              <w:t>检查数据传输和报警模块是否正常；</w:t>
            </w:r>
          </w:p>
          <w:p>
            <w:pPr>
              <w:pStyle w:val="32"/>
              <w:numPr>
                <w:ilvl w:val="0"/>
                <w:numId w:val="1"/>
              </w:numPr>
              <w:tabs>
                <w:tab w:val="left" w:pos="469"/>
              </w:tabs>
              <w:spacing w:line="240" w:lineRule="auto"/>
              <w:ind w:left="0" w:firstLine="0" w:firstLineChars="0"/>
              <w:jc w:val="both"/>
              <w:rPr>
                <w:szCs w:val="24"/>
              </w:rPr>
            </w:pPr>
            <w:r>
              <w:rPr>
                <w:szCs w:val="24"/>
              </w:rPr>
              <w:t>更换试剂；</w:t>
            </w:r>
          </w:p>
          <w:p>
            <w:pPr>
              <w:pStyle w:val="32"/>
              <w:numPr>
                <w:ilvl w:val="0"/>
                <w:numId w:val="1"/>
              </w:numPr>
              <w:tabs>
                <w:tab w:val="left" w:pos="469"/>
              </w:tabs>
              <w:spacing w:line="240" w:lineRule="auto"/>
              <w:ind w:left="0" w:firstLine="0" w:firstLineChars="0"/>
              <w:jc w:val="both"/>
              <w:rPr>
                <w:szCs w:val="24"/>
              </w:rPr>
            </w:pPr>
            <w:r>
              <w:rPr>
                <w:szCs w:val="24"/>
              </w:rPr>
              <w:t>确保各试剂供应正常；</w:t>
            </w:r>
          </w:p>
          <w:p>
            <w:pPr>
              <w:pStyle w:val="32"/>
              <w:numPr>
                <w:ilvl w:val="0"/>
                <w:numId w:val="1"/>
              </w:numPr>
              <w:tabs>
                <w:tab w:val="left" w:pos="469"/>
              </w:tabs>
              <w:spacing w:line="240" w:lineRule="auto"/>
              <w:ind w:left="0" w:firstLine="0" w:firstLineChars="0"/>
              <w:jc w:val="both"/>
              <w:rPr>
                <w:szCs w:val="24"/>
              </w:rPr>
            </w:pPr>
            <w:r>
              <w:rPr>
                <w:szCs w:val="24"/>
              </w:rPr>
              <w:t>清除定量管内水垢，疏通进水管及排液管；</w:t>
            </w:r>
          </w:p>
          <w:p>
            <w:pPr>
              <w:pStyle w:val="32"/>
              <w:numPr>
                <w:ilvl w:val="0"/>
                <w:numId w:val="1"/>
              </w:numPr>
              <w:tabs>
                <w:tab w:val="left" w:pos="469"/>
              </w:tabs>
              <w:spacing w:line="240" w:lineRule="auto"/>
              <w:ind w:left="0" w:firstLine="0" w:firstLineChars="0"/>
              <w:jc w:val="both"/>
              <w:rPr>
                <w:szCs w:val="24"/>
              </w:rPr>
            </w:pPr>
            <w:r>
              <w:rPr>
                <w:szCs w:val="24"/>
              </w:rPr>
              <w:t>确保各个阀门正常；</w:t>
            </w:r>
          </w:p>
          <w:p>
            <w:pPr>
              <w:pStyle w:val="32"/>
              <w:numPr>
                <w:ilvl w:val="0"/>
                <w:numId w:val="1"/>
              </w:numPr>
              <w:tabs>
                <w:tab w:val="left" w:pos="469"/>
              </w:tabs>
              <w:spacing w:line="240" w:lineRule="auto"/>
              <w:ind w:left="0" w:firstLine="0" w:firstLineChars="0"/>
              <w:jc w:val="both"/>
              <w:rPr>
                <w:szCs w:val="24"/>
              </w:rPr>
            </w:pPr>
            <w:r>
              <w:rPr>
                <w:szCs w:val="24"/>
              </w:rPr>
              <w:t>定期更换输送全套软管；</w:t>
            </w:r>
          </w:p>
          <w:p>
            <w:pPr>
              <w:pStyle w:val="32"/>
              <w:numPr>
                <w:ilvl w:val="0"/>
                <w:numId w:val="1"/>
              </w:numPr>
              <w:tabs>
                <w:tab w:val="left" w:pos="469"/>
              </w:tabs>
              <w:spacing w:line="240" w:lineRule="auto"/>
              <w:ind w:left="0" w:firstLine="0" w:firstLineChars="0"/>
              <w:jc w:val="both"/>
              <w:rPr>
                <w:szCs w:val="24"/>
              </w:rPr>
            </w:pPr>
            <w:r>
              <w:rPr>
                <w:szCs w:val="24"/>
              </w:rPr>
              <w:t>定期更换注射器；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386" w:type="pct"/>
            <w:vAlign w:val="center"/>
          </w:tcPr>
          <w:p>
            <w:pPr>
              <w:pStyle w:val="32"/>
              <w:spacing w:line="240" w:lineRule="auto"/>
              <w:ind w:firstLine="0" w:firstLineChars="0"/>
              <w:rPr>
                <w:szCs w:val="24"/>
              </w:rPr>
            </w:pPr>
            <w:r>
              <w:rPr>
                <w:szCs w:val="24"/>
              </w:rPr>
              <w:t>2</w:t>
            </w:r>
          </w:p>
        </w:tc>
        <w:tc>
          <w:tcPr>
            <w:tcW w:w="1031" w:type="pct"/>
            <w:vAlign w:val="center"/>
          </w:tcPr>
          <w:p>
            <w:pPr>
              <w:pStyle w:val="32"/>
              <w:spacing w:line="240" w:lineRule="auto"/>
              <w:ind w:firstLine="0" w:firstLineChars="0"/>
              <w:rPr>
                <w:szCs w:val="24"/>
              </w:rPr>
            </w:pPr>
            <w:r>
              <w:rPr>
                <w:szCs w:val="24"/>
              </w:rPr>
              <w:t>氨氮分析仪维护</w:t>
            </w:r>
          </w:p>
        </w:tc>
        <w:tc>
          <w:tcPr>
            <w:tcW w:w="937" w:type="pct"/>
            <w:vAlign w:val="center"/>
          </w:tcPr>
          <w:p>
            <w:pPr>
              <w:pStyle w:val="32"/>
              <w:spacing w:line="240" w:lineRule="auto"/>
              <w:ind w:firstLine="0" w:firstLineChars="0"/>
              <w:rPr>
                <w:szCs w:val="24"/>
              </w:rPr>
            </w:pPr>
            <w:r>
              <w:rPr>
                <w:szCs w:val="24"/>
              </w:rPr>
              <w:t>1次/周</w:t>
            </w:r>
          </w:p>
        </w:tc>
        <w:tc>
          <w:tcPr>
            <w:tcW w:w="2644" w:type="pct"/>
            <w:vAlign w:val="center"/>
          </w:tcPr>
          <w:p>
            <w:pPr>
              <w:pStyle w:val="32"/>
              <w:numPr>
                <w:ilvl w:val="0"/>
                <w:numId w:val="2"/>
              </w:numPr>
              <w:tabs>
                <w:tab w:val="left" w:pos="528"/>
              </w:tabs>
              <w:spacing w:line="240" w:lineRule="auto"/>
              <w:ind w:left="0" w:firstLine="0" w:firstLineChars="0"/>
              <w:jc w:val="both"/>
              <w:rPr>
                <w:szCs w:val="24"/>
              </w:rPr>
            </w:pPr>
            <w:r>
              <w:rPr>
                <w:szCs w:val="24"/>
              </w:rPr>
              <w:t>检查氨氮分析仪加热模块是否正常；</w:t>
            </w:r>
          </w:p>
          <w:p>
            <w:pPr>
              <w:pStyle w:val="32"/>
              <w:numPr>
                <w:ilvl w:val="0"/>
                <w:numId w:val="2"/>
              </w:numPr>
              <w:tabs>
                <w:tab w:val="left" w:pos="528"/>
              </w:tabs>
              <w:spacing w:line="240" w:lineRule="auto"/>
              <w:ind w:left="0" w:firstLine="0" w:firstLineChars="0"/>
              <w:jc w:val="both"/>
              <w:rPr>
                <w:szCs w:val="24"/>
              </w:rPr>
            </w:pPr>
            <w:r>
              <w:rPr>
                <w:szCs w:val="24"/>
              </w:rPr>
              <w:t>检查试剂；</w:t>
            </w:r>
          </w:p>
          <w:p>
            <w:pPr>
              <w:pStyle w:val="32"/>
              <w:numPr>
                <w:ilvl w:val="0"/>
                <w:numId w:val="2"/>
              </w:numPr>
              <w:tabs>
                <w:tab w:val="left" w:pos="528"/>
              </w:tabs>
              <w:spacing w:line="240" w:lineRule="auto"/>
              <w:ind w:left="0" w:firstLine="0" w:firstLineChars="0"/>
              <w:jc w:val="both"/>
              <w:rPr>
                <w:szCs w:val="24"/>
              </w:rPr>
            </w:pPr>
            <w:r>
              <w:rPr>
                <w:szCs w:val="24"/>
              </w:rPr>
              <w:t>定期更换氨氮管路系统；</w:t>
            </w:r>
          </w:p>
          <w:p>
            <w:pPr>
              <w:pStyle w:val="32"/>
              <w:numPr>
                <w:ilvl w:val="0"/>
                <w:numId w:val="2"/>
              </w:numPr>
              <w:tabs>
                <w:tab w:val="left" w:pos="528"/>
              </w:tabs>
              <w:spacing w:line="240" w:lineRule="auto"/>
              <w:ind w:left="0" w:firstLine="0" w:firstLineChars="0"/>
              <w:jc w:val="both"/>
              <w:rPr>
                <w:szCs w:val="24"/>
              </w:rPr>
            </w:pPr>
            <w:r>
              <w:rPr>
                <w:spacing w:val="-1"/>
                <w:szCs w:val="24"/>
              </w:rPr>
              <w:t>检查氨氮蠕动泵管，每个月对蠕动泵管进</w:t>
            </w:r>
            <w:r>
              <w:rPr>
                <w:szCs w:val="24"/>
              </w:rPr>
              <w:t>行一次换位操作；</w:t>
            </w:r>
          </w:p>
          <w:p>
            <w:pPr>
              <w:pStyle w:val="32"/>
              <w:numPr>
                <w:ilvl w:val="0"/>
                <w:numId w:val="2"/>
              </w:numPr>
              <w:tabs>
                <w:tab w:val="left" w:pos="528"/>
              </w:tabs>
              <w:spacing w:line="240" w:lineRule="auto"/>
              <w:ind w:left="0" w:firstLine="0" w:firstLineChars="0"/>
              <w:jc w:val="both"/>
              <w:rPr>
                <w:szCs w:val="24"/>
              </w:rPr>
            </w:pPr>
            <w:r>
              <w:rPr>
                <w:szCs w:val="24"/>
              </w:rPr>
              <w:t>定期更换加热迂回管路；</w:t>
            </w:r>
          </w:p>
          <w:p>
            <w:pPr>
              <w:pStyle w:val="32"/>
              <w:numPr>
                <w:ilvl w:val="0"/>
                <w:numId w:val="2"/>
              </w:numPr>
              <w:tabs>
                <w:tab w:val="left" w:pos="528"/>
              </w:tabs>
              <w:spacing w:line="240" w:lineRule="auto"/>
              <w:ind w:left="0" w:firstLine="0" w:firstLineChars="0"/>
              <w:jc w:val="both"/>
              <w:rPr>
                <w:szCs w:val="24"/>
              </w:rPr>
            </w:pPr>
            <w:r>
              <w:rPr>
                <w:szCs w:val="24"/>
              </w:rPr>
              <w:t>检查漏气；</w:t>
            </w:r>
          </w:p>
          <w:p>
            <w:pPr>
              <w:pStyle w:val="32"/>
              <w:numPr>
                <w:ilvl w:val="0"/>
                <w:numId w:val="2"/>
              </w:numPr>
              <w:tabs>
                <w:tab w:val="left" w:pos="528"/>
              </w:tabs>
              <w:spacing w:line="240" w:lineRule="auto"/>
              <w:ind w:left="0" w:firstLine="0" w:firstLineChars="0"/>
              <w:jc w:val="both"/>
              <w:rPr>
                <w:szCs w:val="24"/>
              </w:rPr>
            </w:pPr>
            <w:r>
              <w:rPr>
                <w:szCs w:val="24"/>
              </w:rPr>
              <w:t>定期更换蠕动泵管（半年/次）；</w:t>
            </w:r>
          </w:p>
          <w:p>
            <w:pPr>
              <w:pStyle w:val="32"/>
              <w:numPr>
                <w:ilvl w:val="0"/>
                <w:numId w:val="2"/>
              </w:numPr>
              <w:tabs>
                <w:tab w:val="left" w:pos="528"/>
              </w:tabs>
              <w:spacing w:line="240" w:lineRule="auto"/>
              <w:ind w:left="0" w:firstLine="0" w:firstLineChars="0"/>
              <w:jc w:val="both"/>
              <w:rPr>
                <w:szCs w:val="24"/>
              </w:rPr>
            </w:pPr>
            <w:r>
              <w:rPr>
                <w:szCs w:val="24"/>
              </w:rPr>
              <w:t>清洗管路；</w:t>
            </w:r>
          </w:p>
          <w:p>
            <w:pPr>
              <w:pStyle w:val="32"/>
              <w:numPr>
                <w:ilvl w:val="0"/>
                <w:numId w:val="2"/>
              </w:numPr>
              <w:tabs>
                <w:tab w:val="left" w:pos="528"/>
              </w:tabs>
              <w:spacing w:line="240" w:lineRule="auto"/>
              <w:ind w:left="0" w:firstLine="0" w:firstLineChars="0"/>
              <w:jc w:val="both"/>
              <w:rPr>
                <w:szCs w:val="24"/>
              </w:rPr>
            </w:pPr>
            <w:r>
              <w:rPr>
                <w:szCs w:val="24"/>
              </w:rPr>
              <w:t>进样杯清洗；</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00" w:hRule="atLeast"/>
          <w:jc w:val="center"/>
        </w:trPr>
        <w:tc>
          <w:tcPr>
            <w:tcW w:w="386" w:type="pct"/>
            <w:vAlign w:val="center"/>
          </w:tcPr>
          <w:p>
            <w:pPr>
              <w:pStyle w:val="32"/>
              <w:spacing w:line="240" w:lineRule="auto"/>
              <w:ind w:firstLine="0" w:firstLineChars="0"/>
              <w:rPr>
                <w:szCs w:val="24"/>
              </w:rPr>
            </w:pPr>
            <w:r>
              <w:rPr>
                <w:szCs w:val="24"/>
              </w:rPr>
              <w:t>3</w:t>
            </w:r>
          </w:p>
        </w:tc>
        <w:tc>
          <w:tcPr>
            <w:tcW w:w="1031" w:type="pct"/>
            <w:vAlign w:val="center"/>
          </w:tcPr>
          <w:p>
            <w:pPr>
              <w:pStyle w:val="32"/>
              <w:spacing w:line="240" w:lineRule="auto"/>
              <w:ind w:firstLine="0" w:firstLineChars="0"/>
              <w:rPr>
                <w:szCs w:val="24"/>
              </w:rPr>
            </w:pPr>
            <w:r>
              <w:rPr>
                <w:szCs w:val="24"/>
              </w:rPr>
              <w:t>pH、总余氯分析仪</w:t>
            </w:r>
          </w:p>
        </w:tc>
        <w:tc>
          <w:tcPr>
            <w:tcW w:w="937" w:type="pct"/>
            <w:vAlign w:val="center"/>
          </w:tcPr>
          <w:p>
            <w:pPr>
              <w:pStyle w:val="32"/>
              <w:spacing w:line="240" w:lineRule="auto"/>
              <w:ind w:firstLine="0" w:firstLineChars="0"/>
              <w:rPr>
                <w:szCs w:val="24"/>
              </w:rPr>
            </w:pPr>
            <w:r>
              <w:rPr>
                <w:szCs w:val="24"/>
              </w:rPr>
              <w:t>1次/周</w:t>
            </w:r>
          </w:p>
        </w:tc>
        <w:tc>
          <w:tcPr>
            <w:tcW w:w="2644" w:type="pct"/>
            <w:vAlign w:val="center"/>
          </w:tcPr>
          <w:p>
            <w:pPr>
              <w:pStyle w:val="32"/>
              <w:numPr>
                <w:ilvl w:val="0"/>
                <w:numId w:val="3"/>
              </w:numPr>
              <w:tabs>
                <w:tab w:val="left" w:pos="469"/>
              </w:tabs>
              <w:spacing w:line="240" w:lineRule="auto"/>
              <w:ind w:left="0" w:firstLine="0" w:firstLineChars="0"/>
              <w:jc w:val="both"/>
              <w:rPr>
                <w:szCs w:val="24"/>
              </w:rPr>
            </w:pPr>
            <w:r>
              <w:rPr>
                <w:szCs w:val="24"/>
              </w:rPr>
              <w:t>检查数据传输和报警模块是否正常；</w:t>
            </w:r>
          </w:p>
          <w:p>
            <w:pPr>
              <w:pStyle w:val="32"/>
              <w:numPr>
                <w:ilvl w:val="0"/>
                <w:numId w:val="3"/>
              </w:numPr>
              <w:tabs>
                <w:tab w:val="left" w:pos="469"/>
              </w:tabs>
              <w:spacing w:line="240" w:lineRule="auto"/>
              <w:ind w:left="0" w:firstLine="0" w:firstLineChars="0"/>
              <w:jc w:val="both"/>
              <w:rPr>
                <w:szCs w:val="24"/>
              </w:rPr>
            </w:pPr>
            <w:r>
              <w:rPr>
                <w:szCs w:val="24"/>
              </w:rPr>
              <w:t>检查电极是否被泥沙和各类沾污；</w:t>
            </w:r>
          </w:p>
          <w:p>
            <w:pPr>
              <w:pStyle w:val="32"/>
              <w:numPr>
                <w:ilvl w:val="0"/>
                <w:numId w:val="3"/>
              </w:numPr>
              <w:tabs>
                <w:tab w:val="left" w:pos="469"/>
              </w:tabs>
              <w:spacing w:line="240" w:lineRule="auto"/>
              <w:ind w:left="0" w:firstLine="0" w:firstLineChars="0"/>
              <w:jc w:val="both"/>
              <w:rPr>
                <w:szCs w:val="24"/>
              </w:rPr>
            </w:pPr>
            <w:r>
              <w:rPr>
                <w:szCs w:val="24"/>
              </w:rPr>
              <w:t>清洗电极，校准仪表；</w:t>
            </w:r>
          </w:p>
          <w:p>
            <w:pPr>
              <w:pStyle w:val="32"/>
              <w:numPr>
                <w:ilvl w:val="0"/>
                <w:numId w:val="3"/>
              </w:numPr>
              <w:tabs>
                <w:tab w:val="left" w:pos="469"/>
              </w:tabs>
              <w:spacing w:line="240" w:lineRule="auto"/>
              <w:ind w:left="0" w:firstLine="0" w:firstLineChars="0"/>
              <w:jc w:val="both"/>
              <w:rPr>
                <w:szCs w:val="24"/>
              </w:rPr>
            </w:pPr>
            <w:r>
              <w:rPr>
                <w:spacing w:val="-20"/>
                <w:szCs w:val="24"/>
              </w:rPr>
              <w:t>检查</w:t>
            </w:r>
            <w:r>
              <w:rPr>
                <w:szCs w:val="24"/>
              </w:rPr>
              <w:t>pH</w:t>
            </w:r>
            <w:r>
              <w:rPr>
                <w:spacing w:val="-20"/>
                <w:szCs w:val="24"/>
              </w:rPr>
              <w:t>探头；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00" w:hRule="atLeast"/>
          <w:jc w:val="center"/>
        </w:trPr>
        <w:tc>
          <w:tcPr>
            <w:tcW w:w="386" w:type="pct"/>
            <w:vAlign w:val="center"/>
          </w:tcPr>
          <w:p>
            <w:pPr>
              <w:pStyle w:val="32"/>
              <w:spacing w:line="240" w:lineRule="auto"/>
              <w:ind w:firstLine="0" w:firstLineChars="0"/>
              <w:rPr>
                <w:szCs w:val="24"/>
              </w:rPr>
            </w:pPr>
            <w:r>
              <w:rPr>
                <w:szCs w:val="24"/>
              </w:rPr>
              <w:t>4</w:t>
            </w:r>
          </w:p>
        </w:tc>
        <w:tc>
          <w:tcPr>
            <w:tcW w:w="1031" w:type="pct"/>
            <w:vAlign w:val="center"/>
          </w:tcPr>
          <w:p>
            <w:pPr>
              <w:pStyle w:val="32"/>
              <w:spacing w:line="240" w:lineRule="auto"/>
              <w:ind w:firstLine="0" w:firstLineChars="0"/>
              <w:rPr>
                <w:szCs w:val="24"/>
              </w:rPr>
            </w:pPr>
            <w:r>
              <w:rPr>
                <w:szCs w:val="24"/>
              </w:rPr>
              <w:t>采样器维护</w:t>
            </w:r>
          </w:p>
        </w:tc>
        <w:tc>
          <w:tcPr>
            <w:tcW w:w="937" w:type="pct"/>
            <w:vAlign w:val="center"/>
          </w:tcPr>
          <w:p>
            <w:pPr>
              <w:pStyle w:val="32"/>
              <w:spacing w:line="240" w:lineRule="auto"/>
              <w:ind w:firstLine="0" w:firstLineChars="0"/>
              <w:rPr>
                <w:szCs w:val="24"/>
              </w:rPr>
            </w:pPr>
            <w:r>
              <w:rPr>
                <w:szCs w:val="24"/>
              </w:rPr>
              <w:t>1次/周</w:t>
            </w:r>
          </w:p>
        </w:tc>
        <w:tc>
          <w:tcPr>
            <w:tcW w:w="2644" w:type="pct"/>
            <w:vAlign w:val="center"/>
          </w:tcPr>
          <w:p>
            <w:pPr>
              <w:pStyle w:val="32"/>
              <w:numPr>
                <w:ilvl w:val="0"/>
                <w:numId w:val="4"/>
              </w:numPr>
              <w:tabs>
                <w:tab w:val="left" w:pos="469"/>
              </w:tabs>
              <w:spacing w:line="240" w:lineRule="auto"/>
              <w:ind w:left="0" w:firstLine="0" w:firstLineChars="0"/>
              <w:jc w:val="both"/>
              <w:rPr>
                <w:szCs w:val="24"/>
              </w:rPr>
            </w:pPr>
            <w:r>
              <w:rPr>
                <w:szCs w:val="24"/>
              </w:rPr>
              <w:t>定期更换采样泵；</w:t>
            </w:r>
          </w:p>
          <w:p>
            <w:pPr>
              <w:pStyle w:val="32"/>
              <w:numPr>
                <w:ilvl w:val="0"/>
                <w:numId w:val="4"/>
              </w:numPr>
              <w:tabs>
                <w:tab w:val="left" w:pos="469"/>
              </w:tabs>
              <w:spacing w:line="240" w:lineRule="auto"/>
              <w:ind w:left="0" w:firstLine="0" w:firstLineChars="0"/>
              <w:jc w:val="both"/>
              <w:rPr>
                <w:szCs w:val="24"/>
              </w:rPr>
            </w:pPr>
            <w:r>
              <w:rPr>
                <w:szCs w:val="24"/>
              </w:rPr>
              <w:t>定期更换阀门；</w:t>
            </w:r>
          </w:p>
          <w:p>
            <w:pPr>
              <w:pStyle w:val="32"/>
              <w:numPr>
                <w:ilvl w:val="0"/>
                <w:numId w:val="4"/>
              </w:numPr>
              <w:tabs>
                <w:tab w:val="left" w:pos="469"/>
              </w:tabs>
              <w:spacing w:line="240" w:lineRule="auto"/>
              <w:ind w:left="0" w:firstLine="0" w:firstLineChars="0"/>
              <w:jc w:val="both"/>
              <w:rPr>
                <w:szCs w:val="24"/>
              </w:rPr>
            </w:pPr>
            <w:r>
              <w:rPr>
                <w:szCs w:val="24"/>
              </w:rPr>
              <w:t>定期更换过滤器；</w:t>
            </w:r>
          </w:p>
          <w:p>
            <w:pPr>
              <w:pStyle w:val="32"/>
              <w:numPr>
                <w:ilvl w:val="0"/>
                <w:numId w:val="4"/>
              </w:numPr>
              <w:tabs>
                <w:tab w:val="left" w:pos="469"/>
              </w:tabs>
              <w:spacing w:line="240" w:lineRule="auto"/>
              <w:ind w:left="0" w:firstLine="0" w:firstLineChars="0"/>
              <w:jc w:val="both"/>
              <w:rPr>
                <w:szCs w:val="24"/>
              </w:rPr>
            </w:pPr>
            <w:r>
              <w:rPr>
                <w:szCs w:val="24"/>
              </w:rPr>
              <w:t>重新调整采样参数；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0" w:hRule="atLeast"/>
          <w:jc w:val="center"/>
        </w:trPr>
        <w:tc>
          <w:tcPr>
            <w:tcW w:w="386" w:type="pct"/>
            <w:vAlign w:val="center"/>
          </w:tcPr>
          <w:p>
            <w:pPr>
              <w:pStyle w:val="32"/>
              <w:spacing w:line="240" w:lineRule="auto"/>
              <w:ind w:firstLine="0" w:firstLineChars="0"/>
              <w:rPr>
                <w:szCs w:val="24"/>
              </w:rPr>
            </w:pPr>
            <w:r>
              <w:rPr>
                <w:szCs w:val="24"/>
              </w:rPr>
              <w:t>5</w:t>
            </w:r>
          </w:p>
        </w:tc>
        <w:tc>
          <w:tcPr>
            <w:tcW w:w="1031" w:type="pct"/>
            <w:vAlign w:val="center"/>
          </w:tcPr>
          <w:p>
            <w:pPr>
              <w:pStyle w:val="32"/>
              <w:spacing w:line="240" w:lineRule="auto"/>
              <w:ind w:firstLine="0" w:firstLineChars="0"/>
              <w:rPr>
                <w:szCs w:val="24"/>
              </w:rPr>
            </w:pPr>
            <w:r>
              <w:rPr>
                <w:szCs w:val="24"/>
              </w:rPr>
              <w:t>数据采集传输单元</w:t>
            </w:r>
          </w:p>
        </w:tc>
        <w:tc>
          <w:tcPr>
            <w:tcW w:w="937" w:type="pct"/>
            <w:vAlign w:val="center"/>
          </w:tcPr>
          <w:p>
            <w:pPr>
              <w:pStyle w:val="32"/>
              <w:spacing w:line="240" w:lineRule="auto"/>
              <w:ind w:firstLine="0" w:firstLineChars="0"/>
              <w:rPr>
                <w:szCs w:val="24"/>
              </w:rPr>
            </w:pPr>
            <w:r>
              <w:rPr>
                <w:szCs w:val="24"/>
              </w:rPr>
              <w:t>1次/周</w:t>
            </w:r>
          </w:p>
        </w:tc>
        <w:tc>
          <w:tcPr>
            <w:tcW w:w="2644" w:type="pct"/>
            <w:vAlign w:val="center"/>
          </w:tcPr>
          <w:p>
            <w:pPr>
              <w:pStyle w:val="32"/>
              <w:numPr>
                <w:ilvl w:val="0"/>
                <w:numId w:val="5"/>
              </w:numPr>
              <w:tabs>
                <w:tab w:val="left" w:pos="469"/>
              </w:tabs>
              <w:spacing w:line="240" w:lineRule="auto"/>
              <w:ind w:left="0" w:firstLine="0" w:firstLineChars="0"/>
              <w:jc w:val="both"/>
              <w:rPr>
                <w:szCs w:val="24"/>
              </w:rPr>
            </w:pPr>
            <w:r>
              <w:rPr>
                <w:szCs w:val="24"/>
              </w:rPr>
              <w:t>查询历史数据是否完整；</w:t>
            </w:r>
          </w:p>
          <w:p>
            <w:pPr>
              <w:pStyle w:val="32"/>
              <w:numPr>
                <w:ilvl w:val="0"/>
                <w:numId w:val="5"/>
              </w:numPr>
              <w:tabs>
                <w:tab w:val="left" w:pos="469"/>
              </w:tabs>
              <w:spacing w:line="240" w:lineRule="auto"/>
              <w:ind w:left="0" w:firstLine="0" w:firstLineChars="0"/>
              <w:jc w:val="both"/>
              <w:rPr>
                <w:szCs w:val="24"/>
              </w:rPr>
            </w:pPr>
            <w:r>
              <w:rPr>
                <w:szCs w:val="24"/>
              </w:rPr>
              <w:t>数据采集传输是否正常；</w:t>
            </w:r>
          </w:p>
          <w:p>
            <w:pPr>
              <w:pStyle w:val="32"/>
              <w:numPr>
                <w:ilvl w:val="0"/>
                <w:numId w:val="5"/>
              </w:numPr>
              <w:tabs>
                <w:tab w:val="left" w:pos="469"/>
              </w:tabs>
              <w:spacing w:line="240" w:lineRule="auto"/>
              <w:ind w:left="0" w:firstLine="0" w:firstLineChars="0"/>
              <w:jc w:val="both"/>
              <w:rPr>
                <w:szCs w:val="24"/>
              </w:rPr>
            </w:pPr>
            <w:r>
              <w:rPr>
                <w:szCs w:val="24"/>
              </w:rPr>
              <w:t>数据显示是否正常；</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0" w:hRule="atLeast"/>
          <w:jc w:val="center"/>
        </w:trPr>
        <w:tc>
          <w:tcPr>
            <w:tcW w:w="386" w:type="pct"/>
            <w:vAlign w:val="center"/>
          </w:tcPr>
          <w:p>
            <w:pPr>
              <w:pStyle w:val="32"/>
              <w:spacing w:line="240" w:lineRule="auto"/>
              <w:ind w:firstLine="0" w:firstLineChars="0"/>
              <w:rPr>
                <w:szCs w:val="24"/>
              </w:rPr>
            </w:pPr>
            <w:r>
              <w:rPr>
                <w:szCs w:val="24"/>
              </w:rPr>
              <w:t>6</w:t>
            </w:r>
          </w:p>
        </w:tc>
        <w:tc>
          <w:tcPr>
            <w:tcW w:w="1031" w:type="pct"/>
            <w:vAlign w:val="center"/>
          </w:tcPr>
          <w:p>
            <w:pPr>
              <w:pStyle w:val="32"/>
              <w:spacing w:line="240" w:lineRule="auto"/>
              <w:ind w:firstLine="0" w:firstLineChars="0"/>
              <w:rPr>
                <w:szCs w:val="24"/>
              </w:rPr>
            </w:pPr>
            <w:r>
              <w:rPr>
                <w:szCs w:val="24"/>
              </w:rPr>
              <w:t>视频门禁系统</w:t>
            </w:r>
          </w:p>
        </w:tc>
        <w:tc>
          <w:tcPr>
            <w:tcW w:w="937" w:type="pct"/>
            <w:vAlign w:val="center"/>
          </w:tcPr>
          <w:p>
            <w:pPr>
              <w:pStyle w:val="32"/>
              <w:spacing w:line="240" w:lineRule="auto"/>
              <w:ind w:firstLine="0" w:firstLineChars="0"/>
              <w:rPr>
                <w:szCs w:val="24"/>
              </w:rPr>
            </w:pPr>
            <w:r>
              <w:rPr>
                <w:szCs w:val="24"/>
              </w:rPr>
              <w:t>1次/周</w:t>
            </w:r>
          </w:p>
        </w:tc>
        <w:tc>
          <w:tcPr>
            <w:tcW w:w="2644" w:type="pct"/>
            <w:vAlign w:val="center"/>
          </w:tcPr>
          <w:p>
            <w:pPr>
              <w:pStyle w:val="32"/>
              <w:numPr>
                <w:ilvl w:val="0"/>
                <w:numId w:val="6"/>
              </w:numPr>
              <w:tabs>
                <w:tab w:val="left" w:pos="469"/>
              </w:tabs>
              <w:spacing w:line="240" w:lineRule="auto"/>
              <w:ind w:left="0" w:firstLine="0" w:firstLineChars="0"/>
              <w:jc w:val="both"/>
              <w:rPr>
                <w:szCs w:val="24"/>
              </w:rPr>
            </w:pPr>
            <w:r>
              <w:rPr>
                <w:szCs w:val="24"/>
              </w:rPr>
              <w:t>定期检查视频及门禁；</w:t>
            </w:r>
          </w:p>
          <w:p>
            <w:pPr>
              <w:pStyle w:val="32"/>
              <w:numPr>
                <w:ilvl w:val="0"/>
                <w:numId w:val="6"/>
              </w:numPr>
              <w:tabs>
                <w:tab w:val="left" w:pos="469"/>
              </w:tabs>
              <w:spacing w:line="240" w:lineRule="auto"/>
              <w:ind w:left="0" w:firstLine="0" w:firstLineChars="0"/>
              <w:jc w:val="both"/>
              <w:rPr>
                <w:szCs w:val="24"/>
              </w:rPr>
            </w:pPr>
            <w:r>
              <w:rPr>
                <w:szCs w:val="24"/>
              </w:rPr>
              <w:t>对于故障设备进行维修；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5000" w:type="pct"/>
            <w:gridSpan w:val="4"/>
            <w:vAlign w:val="center"/>
          </w:tcPr>
          <w:p>
            <w:pPr>
              <w:pStyle w:val="32"/>
              <w:spacing w:line="240" w:lineRule="auto"/>
              <w:ind w:firstLine="0" w:firstLineChars="0"/>
              <w:rPr>
                <w:b/>
                <w:szCs w:val="24"/>
              </w:rPr>
            </w:pPr>
            <w:r>
              <w:rPr>
                <w:b/>
                <w:szCs w:val="24"/>
              </w:rPr>
              <w:t>注：定期更换部分需做好相关记录工作，现场运维情况需以书面方式做记录备查。</w:t>
            </w:r>
          </w:p>
        </w:tc>
      </w:tr>
    </w:tbl>
    <w:p>
      <w:pPr>
        <w:ind w:firstLine="480"/>
      </w:pPr>
    </w:p>
    <w:p>
      <w:pPr>
        <w:pStyle w:val="2"/>
        <w:ind w:firstLine="0" w:firstLineChars="0"/>
        <w:rPr>
          <w:rFonts w:hint="eastAsia" w:eastAsia="宋体"/>
          <w:b/>
          <w:bCs/>
          <w:lang w:val="en-US" w:eastAsia="zh-CN"/>
        </w:rPr>
      </w:pPr>
      <w:r>
        <w:rPr>
          <w:rFonts w:hint="eastAsia"/>
          <w:b/>
          <w:bCs/>
        </w:rPr>
        <w:t>常用应急维修材料</w:t>
      </w:r>
      <w:r>
        <w:rPr>
          <w:rFonts w:hint="eastAsia"/>
          <w:b/>
          <w:bCs/>
          <w:lang w:val="en-US" w:eastAsia="zh-CN"/>
        </w:rPr>
        <w:t>报价：</w:t>
      </w:r>
    </w:p>
    <w:tbl>
      <w:tblPr>
        <w:tblStyle w:val="15"/>
        <w:tblW w:w="8550" w:type="dxa"/>
        <w:tblInd w:w="93" w:type="dxa"/>
        <w:tblLayout w:type="fixed"/>
        <w:tblCellMar>
          <w:top w:w="0" w:type="dxa"/>
          <w:left w:w="108" w:type="dxa"/>
          <w:bottom w:w="0" w:type="dxa"/>
          <w:right w:w="108" w:type="dxa"/>
        </w:tblCellMar>
      </w:tblPr>
      <w:tblGrid>
        <w:gridCol w:w="1575"/>
        <w:gridCol w:w="3420"/>
        <w:gridCol w:w="658"/>
        <w:gridCol w:w="1275"/>
        <w:gridCol w:w="1622"/>
      </w:tblGrid>
      <w:tr>
        <w:tblPrEx>
          <w:tblCellMar>
            <w:top w:w="0" w:type="dxa"/>
            <w:left w:w="108" w:type="dxa"/>
            <w:bottom w:w="0" w:type="dxa"/>
            <w:right w:w="108" w:type="dxa"/>
          </w:tblCellMar>
        </w:tblPrEx>
        <w:trPr>
          <w:trHeight w:val="56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b/>
                <w:bCs/>
                <w:color w:val="000000"/>
                <w:sz w:val="22"/>
                <w:szCs w:val="22"/>
              </w:rPr>
            </w:pPr>
            <w:r>
              <w:rPr>
                <w:rFonts w:hint="eastAsia" w:ascii="宋体" w:hAnsi="宋体" w:cs="宋体"/>
                <w:color w:val="000000"/>
                <w:kern w:val="0"/>
                <w:sz w:val="22"/>
                <w:szCs w:val="22"/>
                <w:lang w:bidi="ar"/>
              </w:rPr>
              <w:t>名称</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规格型号</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单位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单价（元）</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品牌推荐</w:t>
            </w:r>
          </w:p>
        </w:tc>
      </w:tr>
      <w:tr>
        <w:tblPrEx>
          <w:tblCellMar>
            <w:top w:w="0" w:type="dxa"/>
            <w:left w:w="108" w:type="dxa"/>
            <w:bottom w:w="0" w:type="dxa"/>
            <w:right w:w="108" w:type="dxa"/>
          </w:tblCellMar>
        </w:tblPrEx>
        <w:trPr>
          <w:trHeight w:val="56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污水外排泵</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Q=50m3/h，H=7m，N=2.2kW</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p>
        </w:tc>
        <w:tc>
          <w:tcPr>
            <w:tcW w:w="16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上海凯泉</w:t>
            </w:r>
          </w:p>
        </w:tc>
      </w:tr>
      <w:tr>
        <w:tblPrEx>
          <w:tblCellMar>
            <w:top w:w="0" w:type="dxa"/>
            <w:left w:w="108" w:type="dxa"/>
            <w:bottom w:w="0" w:type="dxa"/>
            <w:right w:w="108" w:type="dxa"/>
          </w:tblCellMar>
        </w:tblPrEx>
        <w:trPr>
          <w:trHeight w:val="56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阀门</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闸阀，DN250mm</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座</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p>
        </w:tc>
        <w:tc>
          <w:tcPr>
            <w:tcW w:w="16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浙江日茂</w:t>
            </w:r>
          </w:p>
        </w:tc>
      </w:tr>
      <w:tr>
        <w:tblPrEx>
          <w:tblCellMar>
            <w:top w:w="0" w:type="dxa"/>
            <w:left w:w="108" w:type="dxa"/>
            <w:bottom w:w="0" w:type="dxa"/>
            <w:right w:w="108" w:type="dxa"/>
          </w:tblCellMar>
        </w:tblPrEx>
        <w:trPr>
          <w:trHeight w:val="56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连接排水管</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材质PE，DN250mm</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米</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浙江中财</w:t>
            </w:r>
          </w:p>
        </w:tc>
      </w:tr>
      <w:tr>
        <w:tblPrEx>
          <w:tblCellMar>
            <w:top w:w="0" w:type="dxa"/>
            <w:left w:w="108" w:type="dxa"/>
            <w:bottom w:w="0" w:type="dxa"/>
            <w:right w:w="108" w:type="dxa"/>
          </w:tblCellMar>
        </w:tblPrEx>
        <w:trPr>
          <w:trHeight w:val="806"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不锈钢提升管道</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De108*4、焊接，304不锈钢材质，带弯头等配件</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米</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p>
        </w:tc>
        <w:tc>
          <w:tcPr>
            <w:tcW w:w="16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华恒</w:t>
            </w:r>
          </w:p>
        </w:tc>
      </w:tr>
      <w:tr>
        <w:tblPrEx>
          <w:tblCellMar>
            <w:top w:w="0" w:type="dxa"/>
            <w:left w:w="108" w:type="dxa"/>
            <w:bottom w:w="0" w:type="dxa"/>
            <w:right w:w="108" w:type="dxa"/>
          </w:tblCellMar>
        </w:tblPrEx>
        <w:trPr>
          <w:trHeight w:val="56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污水提升泵</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both"/>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Q=50m3/h，H=10m，N=4kW，配手拉葫芦及吊架（12#镀锌槽钢支架，防腐处理）</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台</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p>
        </w:tc>
        <w:tc>
          <w:tcPr>
            <w:tcW w:w="16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上海凯泉</w:t>
            </w:r>
          </w:p>
        </w:tc>
      </w:tr>
      <w:tr>
        <w:tblPrEx>
          <w:tblCellMar>
            <w:top w:w="0" w:type="dxa"/>
            <w:left w:w="108" w:type="dxa"/>
            <w:bottom w:w="0" w:type="dxa"/>
            <w:right w:w="108" w:type="dxa"/>
          </w:tblCellMar>
        </w:tblPrEx>
        <w:trPr>
          <w:trHeight w:val="56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电磁流量计</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both"/>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DN100，量程 0-150m³/h，4-20mA 信号输出</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台</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p>
        </w:tc>
        <w:tc>
          <w:tcPr>
            <w:tcW w:w="16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美仪</w:t>
            </w:r>
          </w:p>
        </w:tc>
      </w:tr>
      <w:tr>
        <w:tblPrEx>
          <w:tblCellMar>
            <w:top w:w="0" w:type="dxa"/>
            <w:left w:w="108" w:type="dxa"/>
            <w:bottom w:w="0" w:type="dxa"/>
            <w:right w:w="108" w:type="dxa"/>
          </w:tblCellMar>
        </w:tblPrEx>
        <w:trPr>
          <w:trHeight w:val="56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爬梯</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（带护笼）</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both"/>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尺寸φ0.7米*7米高，SS304不锈钢材质</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座</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sz w:val="22"/>
                <w:szCs w:val="22"/>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r>
      <w:tr>
        <w:tblPrEx>
          <w:tblCellMar>
            <w:top w:w="0" w:type="dxa"/>
            <w:left w:w="108" w:type="dxa"/>
            <w:bottom w:w="0" w:type="dxa"/>
            <w:right w:w="108" w:type="dxa"/>
          </w:tblCellMar>
        </w:tblPrEx>
        <w:trPr>
          <w:trHeight w:val="56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开孔</w:t>
            </w:r>
          </w:p>
        </w:tc>
        <w:tc>
          <w:tcPr>
            <w:tcW w:w="34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both"/>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墙体开孔及堵漏修复</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项</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sz w:val="22"/>
                <w:szCs w:val="22"/>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w:t>
            </w:r>
          </w:p>
        </w:tc>
      </w:tr>
    </w:tbl>
    <w:p>
      <w:pPr>
        <w:pStyle w:val="2"/>
        <w:ind w:firstLine="0" w:firstLineChars="0"/>
      </w:pPr>
      <w:r>
        <w:rPr>
          <w:rFonts w:hint="eastAsia"/>
        </w:rPr>
        <w:t>注：本清单报价不含在本次维保服务，仅供应急维修参考使用。</w:t>
      </w:r>
    </w:p>
    <w:p>
      <w:pPr>
        <w:pStyle w:val="4"/>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pStyle w:val="2"/>
        <w:rPr>
          <w:rFonts w:hint="eastAsia"/>
        </w:rPr>
      </w:pPr>
    </w:p>
    <w:p>
      <w:pPr>
        <w:pStyle w:val="2"/>
        <w:rPr>
          <w:rFonts w:hint="eastAsia"/>
        </w:rPr>
      </w:pPr>
    </w:p>
    <w:p>
      <w:pPr>
        <w:pStyle w:val="2"/>
        <w:rPr>
          <w:rFonts w:hint="eastAsia"/>
        </w:rPr>
      </w:pPr>
    </w:p>
    <w:p>
      <w:pPr>
        <w:pStyle w:val="2"/>
        <w:rPr>
          <w:rFonts w:hint="eastAsia"/>
        </w:rPr>
      </w:pPr>
    </w:p>
    <w:p>
      <w:pPr>
        <w:snapToGrid w:val="0"/>
        <w:spacing w:before="50" w:after="120" w:afterLines="50"/>
        <w:jc w:val="left"/>
        <w:rPr>
          <w:rFonts w:ascii="宋体" w:hAnsi="宋体"/>
          <w:b/>
          <w:color w:val="000000"/>
          <w:sz w:val="28"/>
          <w:szCs w:val="28"/>
        </w:rPr>
      </w:pPr>
      <w:r>
        <w:rPr>
          <w:rFonts w:hint="eastAsia" w:ascii="宋体" w:hAnsi="宋体"/>
          <w:b/>
          <w:color w:val="000000"/>
          <w:sz w:val="28"/>
          <w:szCs w:val="28"/>
        </w:rPr>
        <w:t>此页提供优惠方案：若有</w:t>
      </w:r>
    </w:p>
    <w:p>
      <w:pPr>
        <w:widowControl/>
        <w:jc w:val="left"/>
        <w:rPr>
          <w:b/>
          <w:sz w:val="28"/>
          <w:szCs w:val="28"/>
        </w:rPr>
      </w:pPr>
    </w:p>
    <w:p>
      <w:pPr>
        <w:widowControl/>
        <w:jc w:val="left"/>
        <w:rPr>
          <w:b/>
          <w:sz w:val="28"/>
          <w:szCs w:val="28"/>
        </w:rPr>
      </w:pPr>
    </w:p>
    <w:p>
      <w:pPr>
        <w:widowControl/>
        <w:jc w:val="left"/>
        <w:rPr>
          <w:b/>
          <w:sz w:val="28"/>
          <w:szCs w:val="28"/>
        </w:rPr>
      </w:pPr>
      <w:r>
        <w:rPr>
          <w:b/>
          <w:sz w:val="28"/>
          <w:szCs w:val="28"/>
        </w:rPr>
        <w:br w:type="page"/>
      </w:r>
    </w:p>
    <w:p>
      <w:pPr>
        <w:snapToGrid w:val="0"/>
        <w:spacing w:before="50"/>
        <w:jc w:val="center"/>
        <w:rPr>
          <w:rFonts w:ascii="宋体" w:hAnsi="宋体"/>
          <w:b/>
          <w:spacing w:val="40"/>
          <w:kern w:val="0"/>
          <w:sz w:val="28"/>
          <w:szCs w:val="28"/>
        </w:rPr>
      </w:pPr>
      <w:r>
        <w:rPr>
          <w:rFonts w:hint="eastAsia" w:ascii="宋体" w:hAnsi="宋体"/>
          <w:b/>
          <w:spacing w:val="40"/>
          <w:kern w:val="0"/>
          <w:sz w:val="28"/>
          <w:szCs w:val="28"/>
        </w:rPr>
        <w:t>资信及商务响应表</w:t>
      </w:r>
    </w:p>
    <w:p>
      <w:pPr>
        <w:snapToGrid w:val="0"/>
        <w:spacing w:before="120" w:beforeLines="50" w:after="50" w:line="360" w:lineRule="auto"/>
        <w:jc w:val="center"/>
        <w:rPr>
          <w:rFonts w:ascii="宋体" w:hAnsi="宋体"/>
          <w:sz w:val="30"/>
          <w:szCs w:val="30"/>
        </w:rPr>
      </w:pPr>
      <w:r>
        <w:rPr>
          <w:rFonts w:hint="eastAsia"/>
          <w:b/>
          <w:sz w:val="30"/>
          <w:szCs w:val="30"/>
        </w:rPr>
        <w:t>投标人资格承诺函</w:t>
      </w:r>
    </w:p>
    <w:p>
      <w:pPr>
        <w:snapToGrid w:val="0"/>
        <w:spacing w:before="120" w:beforeLines="50" w:after="50" w:line="360" w:lineRule="auto"/>
        <w:rPr>
          <w:rFonts w:ascii="宋体" w:hAnsi="宋体"/>
          <w:sz w:val="24"/>
          <w:szCs w:val="20"/>
        </w:rPr>
      </w:pPr>
      <w:r>
        <w:rPr>
          <w:rFonts w:hint="eastAsia" w:ascii="宋体" w:hAnsi="宋体"/>
          <w:sz w:val="24"/>
        </w:rPr>
        <w:t>致：</w:t>
      </w: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w:t>
      </w:r>
    </w:p>
    <w:p>
      <w:pPr>
        <w:snapToGrid w:val="0"/>
        <w:spacing w:before="120" w:beforeLines="50" w:after="50" w:line="360" w:lineRule="auto"/>
        <w:ind w:firstLine="720" w:firstLineChars="30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（投标人名称）符合参加本次政府采购活动的资格条件并承诺如下。</w:t>
      </w:r>
    </w:p>
    <w:p>
      <w:pPr>
        <w:snapToGrid w:val="0"/>
        <w:spacing w:before="120" w:beforeLines="50" w:after="50" w:line="360" w:lineRule="auto"/>
        <w:ind w:firstLine="480" w:firstLineChars="200"/>
        <w:rPr>
          <w:rFonts w:ascii="宋体" w:hAnsi="宋体"/>
          <w:sz w:val="24"/>
        </w:rPr>
      </w:pPr>
      <w:r>
        <w:rPr>
          <w:rFonts w:hint="eastAsia" w:ascii="宋体" w:hAnsi="宋体"/>
          <w:sz w:val="24"/>
        </w:rPr>
        <w:t>一、满足《中华人民共和国政府采购法》第二十二条规定</w:t>
      </w:r>
    </w:p>
    <w:p>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1、</w:t>
      </w:r>
      <w:r>
        <w:rPr>
          <w:rFonts w:ascii="宋体" w:hAnsi="宋体" w:cs="宋体"/>
          <w:kern w:val="0"/>
          <w:sz w:val="24"/>
        </w:rPr>
        <w:t>具有独立承担民事责任的能力；</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2、</w:t>
      </w:r>
      <w:r>
        <w:rPr>
          <w:rFonts w:ascii="宋体" w:hAnsi="宋体" w:cs="宋体"/>
          <w:kern w:val="0"/>
          <w:sz w:val="24"/>
        </w:rPr>
        <w:t>具有良好的商业信誉和健全的财务会计制度；</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3、</w:t>
      </w:r>
      <w:r>
        <w:rPr>
          <w:rFonts w:ascii="宋体" w:hAnsi="宋体" w:cs="宋体"/>
          <w:kern w:val="0"/>
          <w:sz w:val="24"/>
        </w:rPr>
        <w:t>具有履行合同所必需的设备和专业技术能力；</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4、</w:t>
      </w:r>
      <w:r>
        <w:rPr>
          <w:rFonts w:ascii="宋体" w:hAnsi="宋体" w:cs="宋体"/>
          <w:kern w:val="0"/>
          <w:sz w:val="24"/>
        </w:rPr>
        <w:t>有依法缴纳税收和社会保障资金的良好记录；</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5、</w:t>
      </w:r>
      <w:r>
        <w:rPr>
          <w:rFonts w:ascii="宋体" w:hAnsi="宋体" w:cs="宋体"/>
          <w:kern w:val="0"/>
          <w:sz w:val="24"/>
        </w:rPr>
        <w:t>参加政府采购活动前三年内，在经营活动中没有重大违法记录；</w:t>
      </w:r>
    </w:p>
    <w:p>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二、未被“信用中国”（www.creditchina.gov.cn</w:t>
      </w:r>
      <w:r>
        <w:rPr>
          <w:rFonts w:hint="eastAsia" w:ascii="宋体" w:hAnsi="宋体" w:cs="宋体"/>
          <w:kern w:val="0"/>
          <w:sz w:val="24"/>
          <w:lang w:eastAsia="zh-CN"/>
        </w:rPr>
        <w:t>）</w:t>
      </w:r>
      <w:r>
        <w:rPr>
          <w:rFonts w:hint="eastAsia" w:ascii="宋体" w:hAnsi="宋体" w:cs="宋体"/>
          <w:kern w:val="0"/>
          <w:sz w:val="24"/>
        </w:rPr>
        <w:t>、中国政府采购网（www.ccgp.gov.cn）列入失信被执行人、重大税收违法案件当事人名单、政府采购严重违法失信行为记录名单。</w:t>
      </w:r>
    </w:p>
    <w:p>
      <w:pPr>
        <w:snapToGrid w:val="0"/>
        <w:spacing w:line="360" w:lineRule="auto"/>
        <w:ind w:firstLine="480" w:firstLineChars="200"/>
        <w:rPr>
          <w:rFonts w:ascii="宋体" w:hAnsi="宋体" w:cs="宋体"/>
          <w:i/>
          <w:kern w:val="0"/>
          <w:sz w:val="24"/>
        </w:rPr>
      </w:pPr>
    </w:p>
    <w:p>
      <w:pPr>
        <w:snapToGrid w:val="0"/>
        <w:spacing w:line="360" w:lineRule="auto"/>
        <w:ind w:firstLine="480" w:firstLineChars="200"/>
        <w:rPr>
          <w:rFonts w:ascii="宋体" w:hAnsi="宋体" w:cs="宋体"/>
          <w:i/>
          <w:kern w:val="0"/>
          <w:sz w:val="24"/>
        </w:rPr>
      </w:pPr>
    </w:p>
    <w:p>
      <w:pPr>
        <w:snapToGrid w:val="0"/>
        <w:spacing w:line="360" w:lineRule="auto"/>
        <w:ind w:firstLine="480" w:firstLineChars="200"/>
        <w:rPr>
          <w:rFonts w:ascii="宋体" w:hAnsi="宋体" w:cs="宋体"/>
          <w:kern w:val="0"/>
          <w:sz w:val="24"/>
        </w:rPr>
      </w:pPr>
    </w:p>
    <w:p>
      <w:pPr>
        <w:snapToGrid w:val="0"/>
        <w:spacing w:line="360" w:lineRule="auto"/>
        <w:ind w:firstLine="480" w:firstLineChars="200"/>
        <w:rPr>
          <w:rFonts w:ascii="宋体" w:hAnsi="宋体" w:cs="宋体"/>
          <w:kern w:val="0"/>
          <w:sz w:val="24"/>
        </w:rPr>
      </w:pPr>
      <w:r>
        <w:rPr>
          <w:rFonts w:hint="eastAsia" w:ascii="宋体" w:hAnsi="宋体" w:cs="宋体"/>
          <w:kern w:val="0"/>
          <w:sz w:val="24"/>
        </w:rPr>
        <w:t>本单位对上述承诺内容的真实性负责。如有虚假，将依法承担相应责任。</w:t>
      </w:r>
    </w:p>
    <w:p>
      <w:pPr>
        <w:spacing w:line="360" w:lineRule="auto"/>
        <w:rPr>
          <w:rFonts w:ascii="宋体" w:hAnsi="宋体"/>
          <w:sz w:val="24"/>
        </w:rPr>
      </w:pPr>
    </w:p>
    <w:p>
      <w:pPr>
        <w:spacing w:line="360" w:lineRule="auto"/>
        <w:rPr>
          <w:rFonts w:ascii="宋体" w:hAnsi="宋体"/>
          <w:sz w:val="24"/>
        </w:rPr>
      </w:pPr>
    </w:p>
    <w:p>
      <w:pPr>
        <w:widowControl/>
        <w:spacing w:line="360" w:lineRule="auto"/>
        <w:jc w:val="left"/>
        <w:rPr>
          <w:rFonts w:ascii="宋体" w:hAnsi="宋体"/>
          <w:sz w:val="24"/>
        </w:rPr>
      </w:pPr>
      <w:r>
        <w:rPr>
          <w:rFonts w:hint="eastAsia" w:ascii="宋体" w:hAnsi="宋体"/>
          <w:sz w:val="24"/>
        </w:rPr>
        <w:t>投标人：</w:t>
      </w:r>
      <w:r>
        <w:rPr>
          <w:rFonts w:ascii="宋体" w:hAnsi="宋体"/>
          <w:sz w:val="24"/>
          <w:u w:val="single"/>
        </w:rPr>
        <w:t xml:space="preserve">       </w:t>
      </w:r>
      <w:r>
        <w:rPr>
          <w:rFonts w:hint="eastAsia" w:ascii="宋体" w:hAnsi="宋体"/>
          <w:sz w:val="24"/>
          <w:u w:val="single"/>
        </w:rPr>
        <w:t>（盖章）</w:t>
      </w:r>
      <w:r>
        <w:rPr>
          <w:rFonts w:ascii="宋体" w:hAnsi="宋体"/>
          <w:sz w:val="24"/>
          <w:u w:val="single"/>
        </w:rPr>
        <w:t xml:space="preserve">        </w:t>
      </w:r>
      <w:r>
        <w:rPr>
          <w:rFonts w:ascii="宋体" w:hAnsi="宋体"/>
          <w:sz w:val="24"/>
        </w:rPr>
        <w:t xml:space="preserve"> </w:t>
      </w:r>
    </w:p>
    <w:p>
      <w:pPr>
        <w:widowControl/>
        <w:spacing w:line="360" w:lineRule="auto"/>
        <w:jc w:val="left"/>
        <w:rPr>
          <w:rFonts w:ascii="宋体" w:hAnsi="宋体"/>
          <w:sz w:val="24"/>
        </w:rPr>
      </w:pPr>
    </w:p>
    <w:p>
      <w:pPr>
        <w:widowControl/>
        <w:spacing w:line="360" w:lineRule="auto"/>
        <w:jc w:val="left"/>
        <w:rPr>
          <w:rFonts w:ascii="宋体" w:hAnsi="宋体"/>
          <w:sz w:val="24"/>
        </w:rPr>
      </w:pPr>
    </w:p>
    <w:p>
      <w:pPr>
        <w:widowControl/>
        <w:spacing w:line="360" w:lineRule="auto"/>
        <w:jc w:val="left"/>
        <w:rPr>
          <w:rFonts w:ascii="宋体" w:hAnsi="宋体" w:cs="Arial"/>
          <w:kern w:val="0"/>
          <w:sz w:val="24"/>
        </w:rPr>
      </w:pPr>
      <w:r>
        <w:rPr>
          <w:rFonts w:ascii="宋体" w:hAnsi="宋体"/>
          <w:sz w:val="24"/>
        </w:rPr>
        <w:t>年    月    日</w:t>
      </w:r>
    </w:p>
    <w:p>
      <w:pPr>
        <w:snapToGrid w:val="0"/>
        <w:spacing w:before="120" w:beforeLines="50" w:after="50"/>
        <w:rPr>
          <w:rFonts w:ascii="宋体" w:hAnsi="宋体"/>
          <w:b/>
          <w:sz w:val="30"/>
          <w:szCs w:val="30"/>
        </w:rPr>
      </w:pPr>
      <w:r>
        <w:rPr>
          <w:rFonts w:ascii="宋体" w:hAnsi="宋体"/>
          <w:sz w:val="28"/>
          <w:szCs w:val="28"/>
        </w:rPr>
        <w:br w:type="page"/>
      </w:r>
    </w:p>
    <w:p>
      <w:pPr>
        <w:snapToGrid w:val="0"/>
        <w:spacing w:before="50"/>
        <w:jc w:val="left"/>
        <w:rPr>
          <w:rFonts w:ascii="宋体" w:hAnsi="宋体"/>
          <w:color w:val="000000"/>
          <w:sz w:val="28"/>
          <w:szCs w:val="28"/>
        </w:rPr>
      </w:pPr>
      <w:r>
        <w:rPr>
          <w:rFonts w:hint="eastAsia" w:ascii="宋体" w:hAnsi="宋体"/>
          <w:sz w:val="28"/>
          <w:szCs w:val="28"/>
        </w:rPr>
        <w:t>此页</w:t>
      </w:r>
      <w:r>
        <w:rPr>
          <w:rFonts w:hint="eastAsia" w:ascii="宋体" w:hAnsi="宋体"/>
          <w:color w:val="000000"/>
          <w:sz w:val="28"/>
          <w:szCs w:val="28"/>
        </w:rPr>
        <w:t>提供符合年检要求的营业执照副本复印件</w:t>
      </w:r>
    </w:p>
    <w:p>
      <w:pPr>
        <w:widowControl/>
        <w:jc w:val="left"/>
        <w:rPr>
          <w:rFonts w:ascii="宋体" w:hAnsi="宋体"/>
          <w:color w:val="000000"/>
          <w:sz w:val="28"/>
          <w:szCs w:val="28"/>
        </w:rPr>
      </w:pPr>
      <w:r>
        <w:rPr>
          <w:rFonts w:ascii="宋体" w:hAnsi="宋体"/>
          <w:color w:val="000000"/>
          <w:sz w:val="28"/>
          <w:szCs w:val="28"/>
        </w:rPr>
        <w:br w:type="page"/>
      </w:r>
    </w:p>
    <w:p>
      <w:pPr>
        <w:spacing w:line="300" w:lineRule="auto"/>
        <w:rPr>
          <w:rFonts w:ascii="宋体" w:hAnsi="宋体"/>
          <w:color w:val="000000"/>
          <w:sz w:val="28"/>
          <w:szCs w:val="28"/>
        </w:rPr>
      </w:pPr>
      <w:r>
        <w:rPr>
          <w:rFonts w:hint="eastAsia" w:ascii="宋体" w:hAnsi="宋体"/>
          <w:color w:val="000000"/>
          <w:sz w:val="28"/>
          <w:szCs w:val="28"/>
        </w:rPr>
        <w:t>此页提供经营许可证</w:t>
      </w:r>
    </w:p>
    <w:p>
      <w:pPr>
        <w:widowControl/>
        <w:jc w:val="left"/>
        <w:rPr>
          <w:rFonts w:ascii="宋体" w:hAnsi="宋体"/>
          <w:color w:val="000000"/>
          <w:sz w:val="28"/>
          <w:szCs w:val="28"/>
        </w:rPr>
      </w:pPr>
      <w:r>
        <w:rPr>
          <w:rFonts w:ascii="宋体" w:hAnsi="宋体"/>
          <w:color w:val="000000"/>
          <w:sz w:val="28"/>
          <w:szCs w:val="28"/>
        </w:rPr>
        <w:br w:type="page"/>
      </w:r>
    </w:p>
    <w:p>
      <w:pPr>
        <w:spacing w:line="300" w:lineRule="auto"/>
        <w:rPr>
          <w:rFonts w:ascii="宋体" w:hAnsi="宋体"/>
          <w:color w:val="000000"/>
          <w:sz w:val="28"/>
          <w:szCs w:val="28"/>
        </w:rPr>
      </w:pPr>
      <w:r>
        <w:rPr>
          <w:rFonts w:ascii="宋体" w:hAnsi="宋体"/>
          <w:color w:val="000000"/>
          <w:sz w:val="28"/>
          <w:szCs w:val="28"/>
        </w:rPr>
        <w:t>此页提供浙江省内用户名单</w:t>
      </w:r>
      <w:r>
        <w:rPr>
          <w:rFonts w:hint="eastAsia" w:ascii="宋体" w:hAnsi="宋体"/>
          <w:color w:val="000000"/>
          <w:sz w:val="28"/>
          <w:szCs w:val="28"/>
        </w:rPr>
        <w:t>及采购日期、政府招标编号、合同复印件</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6"/>
        <w:gridCol w:w="3113"/>
        <w:gridCol w:w="3026"/>
        <w:gridCol w:w="2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restart"/>
            <w:vAlign w:val="center"/>
          </w:tcPr>
          <w:p>
            <w:pPr>
              <w:ind w:right="-110"/>
              <w:jc w:val="center"/>
              <w:rPr>
                <w:rFonts w:ascii="宋体" w:hAnsi="宋体"/>
                <w:spacing w:val="40"/>
                <w:sz w:val="28"/>
                <w:szCs w:val="52"/>
              </w:rPr>
            </w:pPr>
            <w:r>
              <w:rPr>
                <w:rFonts w:ascii="宋体" w:hAnsi="宋体"/>
                <w:spacing w:val="40"/>
                <w:sz w:val="28"/>
                <w:szCs w:val="52"/>
              </w:rPr>
              <w:t>近三年浙江省内类似业绩</w:t>
            </w:r>
          </w:p>
        </w:tc>
        <w:tc>
          <w:tcPr>
            <w:tcW w:w="3208" w:type="dxa"/>
            <w:vAlign w:val="center"/>
          </w:tcPr>
          <w:p>
            <w:pPr>
              <w:ind w:right="-110"/>
              <w:jc w:val="center"/>
              <w:rPr>
                <w:rFonts w:ascii="宋体" w:hAnsi="宋体"/>
                <w:spacing w:val="40"/>
                <w:sz w:val="28"/>
                <w:szCs w:val="52"/>
              </w:rPr>
            </w:pPr>
            <w:r>
              <w:rPr>
                <w:rFonts w:ascii="宋体" w:hAnsi="宋体"/>
                <w:spacing w:val="40"/>
                <w:sz w:val="28"/>
                <w:szCs w:val="52"/>
              </w:rPr>
              <w:t>用户名</w:t>
            </w:r>
          </w:p>
        </w:tc>
        <w:tc>
          <w:tcPr>
            <w:tcW w:w="3118" w:type="dxa"/>
            <w:vAlign w:val="center"/>
          </w:tcPr>
          <w:p>
            <w:pPr>
              <w:ind w:right="-110"/>
              <w:jc w:val="center"/>
              <w:rPr>
                <w:rFonts w:ascii="宋体" w:hAnsi="宋体"/>
                <w:spacing w:val="40"/>
                <w:sz w:val="28"/>
                <w:szCs w:val="52"/>
              </w:rPr>
            </w:pPr>
            <w:r>
              <w:rPr>
                <w:rFonts w:ascii="宋体" w:hAnsi="宋体"/>
                <w:spacing w:val="40"/>
                <w:sz w:val="28"/>
                <w:szCs w:val="52"/>
              </w:rPr>
              <w:t>招标编号</w:t>
            </w:r>
          </w:p>
        </w:tc>
        <w:tc>
          <w:tcPr>
            <w:tcW w:w="2653" w:type="dxa"/>
            <w:vAlign w:val="center"/>
          </w:tcPr>
          <w:p>
            <w:pPr>
              <w:ind w:right="-110"/>
              <w:jc w:val="center"/>
              <w:rPr>
                <w:rFonts w:ascii="宋体" w:hAnsi="宋体"/>
                <w:spacing w:val="40"/>
                <w:sz w:val="28"/>
                <w:szCs w:val="52"/>
              </w:rPr>
            </w:pPr>
            <w:r>
              <w:rPr>
                <w:rFonts w:ascii="宋体" w:hAnsi="宋体"/>
                <w:spacing w:val="40"/>
                <w:sz w:val="28"/>
                <w:szCs w:val="52"/>
              </w:rPr>
              <w:t>采购日期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bl>
    <w:p>
      <w:pPr>
        <w:widowControl/>
        <w:jc w:val="left"/>
        <w:rPr>
          <w:rFonts w:ascii="宋体" w:hAnsi="宋体"/>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sectPr>
          <w:headerReference r:id="rId7" w:type="default"/>
          <w:pgSz w:w="11906" w:h="16838"/>
          <w:pgMar w:top="720" w:right="720" w:bottom="720" w:left="720" w:header="851" w:footer="851" w:gutter="0"/>
          <w:cols w:space="425" w:num="1"/>
          <w:docGrid w:linePitch="312" w:charSpace="0"/>
        </w:sectPr>
      </w:pPr>
    </w:p>
    <w:p>
      <w:pPr>
        <w:widowControl/>
        <w:jc w:val="left"/>
        <w:rPr>
          <w:rFonts w:hint="eastAsia" w:ascii="宋体" w:hAnsi="宋体"/>
          <w:b/>
          <w:color w:val="000000"/>
          <w:sz w:val="28"/>
          <w:szCs w:val="28"/>
        </w:rPr>
      </w:pPr>
      <w:r>
        <w:rPr>
          <w:rFonts w:hint="eastAsia" w:ascii="宋体" w:hAnsi="宋体"/>
          <w:b/>
          <w:color w:val="000000"/>
          <w:sz w:val="28"/>
          <w:szCs w:val="28"/>
        </w:rPr>
        <w:t>合同复印件：</w:t>
      </w: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rPr>
          <w:rFonts w:hint="eastAsia" w:ascii="宋体" w:hAnsi="宋体"/>
          <w:b/>
          <w:color w:val="000000"/>
          <w:sz w:val="28"/>
          <w:szCs w:val="28"/>
        </w:rPr>
      </w:pPr>
    </w:p>
    <w:p>
      <w:pPr>
        <w:pStyle w:val="2"/>
        <w:ind w:left="0" w:leftChars="0" w:firstLine="0" w:firstLineChars="0"/>
        <w:rPr>
          <w:rFonts w:hint="eastAsia" w:ascii="宋体" w:hAnsi="宋体"/>
          <w:b/>
          <w:color w:val="000000"/>
          <w:sz w:val="28"/>
          <w:szCs w:val="28"/>
          <w:lang w:val="en-US" w:eastAsia="zh-CN"/>
        </w:rPr>
      </w:pPr>
      <w:bookmarkStart w:id="24" w:name="_GoBack"/>
      <w:r>
        <w:rPr>
          <w:rFonts w:hint="eastAsia" w:ascii="宋体" w:hAnsi="宋体"/>
          <w:b/>
          <w:color w:val="000000"/>
          <w:sz w:val="28"/>
          <w:szCs w:val="28"/>
          <w:lang w:val="en-US" w:eastAsia="zh-CN"/>
        </w:rPr>
        <w:t>与项目相关资质证书：</w:t>
      </w:r>
    </w:p>
    <w:bookmarkEnd w:id="24"/>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r>
        <w:rPr>
          <w:rFonts w:hint="eastAsia" w:ascii="宋体" w:hAnsi="宋体"/>
          <w:b/>
          <w:color w:val="000000"/>
          <w:sz w:val="28"/>
          <w:szCs w:val="28"/>
          <w:lang w:val="en-US" w:eastAsia="zh-CN"/>
        </w:rPr>
        <w:t>报价明细：</w:t>
      </w: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eastAsia" w:ascii="宋体" w:hAnsi="宋体"/>
          <w:b/>
          <w:color w:val="000000"/>
          <w:sz w:val="28"/>
          <w:szCs w:val="28"/>
          <w:lang w:val="en-US" w:eastAsia="zh-CN"/>
        </w:rPr>
      </w:pPr>
    </w:p>
    <w:p>
      <w:pPr>
        <w:pStyle w:val="2"/>
        <w:ind w:left="0" w:leftChars="0" w:firstLine="0" w:firstLineChars="0"/>
        <w:rPr>
          <w:rFonts w:hint="default" w:ascii="宋体" w:hAnsi="宋体"/>
          <w:b/>
          <w:color w:val="000000"/>
          <w:sz w:val="28"/>
          <w:szCs w:val="28"/>
          <w:lang w:val="en-US" w:eastAsia="zh-CN"/>
        </w:rPr>
      </w:pPr>
    </w:p>
    <w:sectPr>
      <w:pgSz w:w="11906" w:h="16838"/>
      <w:pgMar w:top="720" w:right="720" w:bottom="720" w:left="720" w:header="851" w:footer="85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right" w:y="1"/>
      <w:rPr>
        <w:rStyle w:val="19"/>
      </w:rPr>
    </w:pPr>
    <w:r>
      <w:fldChar w:fldCharType="begin"/>
    </w:r>
    <w:r>
      <w:rPr>
        <w:rStyle w:val="19"/>
      </w:rPr>
      <w:instrText xml:space="preserve">PAGE  </w:instrText>
    </w:r>
    <w:r>
      <w:fldChar w:fldCharType="separate"/>
    </w:r>
    <w:r>
      <w:rPr>
        <w:rStyle w:val="19"/>
      </w:rPr>
      <w:t>6</w:t>
    </w:r>
    <w:r>
      <w:fldChar w:fldCharType="end"/>
    </w:r>
  </w:p>
  <w:p>
    <w:pPr>
      <w:pStyle w:val="12"/>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right" w:y="1"/>
      <w:rPr>
        <w:rStyle w:val="19"/>
      </w:rPr>
    </w:pPr>
    <w:r>
      <w:fldChar w:fldCharType="begin"/>
    </w:r>
    <w:r>
      <w:rPr>
        <w:rStyle w:val="19"/>
      </w:rPr>
      <w:instrText xml:space="preserve">PAGE  </w:instrText>
    </w:r>
    <w:r>
      <w:fldChar w:fldCharType="end"/>
    </w:r>
  </w:p>
  <w:p>
    <w:pPr>
      <w:pStyle w:val="1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right" w:y="1"/>
      <w:rPr>
        <w:rStyle w:val="19"/>
      </w:rPr>
    </w:pPr>
    <w:r>
      <w:fldChar w:fldCharType="begin"/>
    </w:r>
    <w:r>
      <w:rPr>
        <w:rStyle w:val="19"/>
      </w:rPr>
      <w:instrText xml:space="preserve">PAGE  </w:instrText>
    </w:r>
    <w:r>
      <w:fldChar w:fldCharType="separate"/>
    </w:r>
    <w:r>
      <w:rPr>
        <w:rStyle w:val="19"/>
      </w:rPr>
      <w:t>1</w:t>
    </w:r>
    <w:r>
      <w:fldChar w:fldCharType="end"/>
    </w:r>
  </w:p>
  <w:p>
    <w:pPr>
      <w:pStyle w:val="1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D140E4"/>
    <w:multiLevelType w:val="multilevel"/>
    <w:tmpl w:val="D7D140E4"/>
    <w:lvl w:ilvl="0" w:tentative="0">
      <w:start w:val="1"/>
      <w:numFmt w:val="decimal"/>
      <w:lvlText w:val="%1）"/>
      <w:lvlJc w:val="left"/>
      <w:pPr>
        <w:ind w:left="468" w:hanging="361"/>
      </w:pPr>
      <w:rPr>
        <w:rFonts w:hint="default" w:ascii="宋体" w:hAnsi="宋体" w:eastAsia="宋体" w:cs="宋体"/>
        <w:w w:val="100"/>
        <w:sz w:val="22"/>
        <w:szCs w:val="22"/>
        <w:lang w:val="zh-CN" w:eastAsia="zh-CN" w:bidi="zh-CN"/>
      </w:rPr>
    </w:lvl>
    <w:lvl w:ilvl="1" w:tentative="0">
      <w:start w:val="0"/>
      <w:numFmt w:val="bullet"/>
      <w:lvlText w:val="•"/>
      <w:lvlJc w:val="left"/>
      <w:pPr>
        <w:ind w:left="915" w:hanging="361"/>
      </w:pPr>
      <w:rPr>
        <w:rFonts w:hint="default"/>
        <w:lang w:val="zh-CN" w:eastAsia="zh-CN" w:bidi="zh-CN"/>
      </w:rPr>
    </w:lvl>
    <w:lvl w:ilvl="2" w:tentative="0">
      <w:start w:val="0"/>
      <w:numFmt w:val="bullet"/>
      <w:lvlText w:val="•"/>
      <w:lvlJc w:val="left"/>
      <w:pPr>
        <w:ind w:left="1370" w:hanging="361"/>
      </w:pPr>
      <w:rPr>
        <w:rFonts w:hint="default"/>
        <w:lang w:val="zh-CN" w:eastAsia="zh-CN" w:bidi="zh-CN"/>
      </w:rPr>
    </w:lvl>
    <w:lvl w:ilvl="3" w:tentative="0">
      <w:start w:val="0"/>
      <w:numFmt w:val="bullet"/>
      <w:lvlText w:val="•"/>
      <w:lvlJc w:val="left"/>
      <w:pPr>
        <w:ind w:left="1825" w:hanging="361"/>
      </w:pPr>
      <w:rPr>
        <w:rFonts w:hint="default"/>
        <w:lang w:val="zh-CN" w:eastAsia="zh-CN" w:bidi="zh-CN"/>
      </w:rPr>
    </w:lvl>
    <w:lvl w:ilvl="4" w:tentative="0">
      <w:start w:val="0"/>
      <w:numFmt w:val="bullet"/>
      <w:lvlText w:val="•"/>
      <w:lvlJc w:val="left"/>
      <w:pPr>
        <w:ind w:left="2280" w:hanging="361"/>
      </w:pPr>
      <w:rPr>
        <w:rFonts w:hint="default"/>
        <w:lang w:val="zh-CN" w:eastAsia="zh-CN" w:bidi="zh-CN"/>
      </w:rPr>
    </w:lvl>
    <w:lvl w:ilvl="5" w:tentative="0">
      <w:start w:val="0"/>
      <w:numFmt w:val="bullet"/>
      <w:lvlText w:val="•"/>
      <w:lvlJc w:val="left"/>
      <w:pPr>
        <w:ind w:left="2736" w:hanging="361"/>
      </w:pPr>
      <w:rPr>
        <w:rFonts w:hint="default"/>
        <w:lang w:val="zh-CN" w:eastAsia="zh-CN" w:bidi="zh-CN"/>
      </w:rPr>
    </w:lvl>
    <w:lvl w:ilvl="6" w:tentative="0">
      <w:start w:val="0"/>
      <w:numFmt w:val="bullet"/>
      <w:lvlText w:val="•"/>
      <w:lvlJc w:val="left"/>
      <w:pPr>
        <w:ind w:left="3191" w:hanging="361"/>
      </w:pPr>
      <w:rPr>
        <w:rFonts w:hint="default"/>
        <w:lang w:val="zh-CN" w:eastAsia="zh-CN" w:bidi="zh-CN"/>
      </w:rPr>
    </w:lvl>
    <w:lvl w:ilvl="7" w:tentative="0">
      <w:start w:val="0"/>
      <w:numFmt w:val="bullet"/>
      <w:lvlText w:val="•"/>
      <w:lvlJc w:val="left"/>
      <w:pPr>
        <w:ind w:left="3646" w:hanging="361"/>
      </w:pPr>
      <w:rPr>
        <w:rFonts w:hint="default"/>
        <w:lang w:val="zh-CN" w:eastAsia="zh-CN" w:bidi="zh-CN"/>
      </w:rPr>
    </w:lvl>
    <w:lvl w:ilvl="8" w:tentative="0">
      <w:start w:val="0"/>
      <w:numFmt w:val="bullet"/>
      <w:lvlText w:val="•"/>
      <w:lvlJc w:val="left"/>
      <w:pPr>
        <w:ind w:left="4101" w:hanging="361"/>
      </w:pPr>
      <w:rPr>
        <w:rFonts w:hint="default"/>
        <w:lang w:val="zh-CN" w:eastAsia="zh-CN" w:bidi="zh-CN"/>
      </w:rPr>
    </w:lvl>
  </w:abstractNum>
  <w:abstractNum w:abstractNumId="1">
    <w:nsid w:val="F0E89278"/>
    <w:multiLevelType w:val="multilevel"/>
    <w:tmpl w:val="F0E89278"/>
    <w:lvl w:ilvl="0" w:tentative="0">
      <w:start w:val="1"/>
      <w:numFmt w:val="decimal"/>
      <w:lvlText w:val="%1）"/>
      <w:lvlJc w:val="left"/>
      <w:pPr>
        <w:ind w:left="468" w:hanging="361"/>
      </w:pPr>
      <w:rPr>
        <w:rFonts w:hint="default" w:ascii="宋体" w:hAnsi="宋体" w:eastAsia="宋体" w:cs="宋体"/>
        <w:w w:val="100"/>
        <w:sz w:val="22"/>
        <w:szCs w:val="22"/>
        <w:lang w:val="zh-CN" w:eastAsia="zh-CN" w:bidi="zh-CN"/>
      </w:rPr>
    </w:lvl>
    <w:lvl w:ilvl="1" w:tentative="0">
      <w:start w:val="0"/>
      <w:numFmt w:val="bullet"/>
      <w:lvlText w:val="•"/>
      <w:lvlJc w:val="left"/>
      <w:pPr>
        <w:ind w:left="915" w:hanging="361"/>
      </w:pPr>
      <w:rPr>
        <w:rFonts w:hint="default"/>
        <w:lang w:val="zh-CN" w:eastAsia="zh-CN" w:bidi="zh-CN"/>
      </w:rPr>
    </w:lvl>
    <w:lvl w:ilvl="2" w:tentative="0">
      <w:start w:val="0"/>
      <w:numFmt w:val="bullet"/>
      <w:lvlText w:val="•"/>
      <w:lvlJc w:val="left"/>
      <w:pPr>
        <w:ind w:left="1370" w:hanging="361"/>
      </w:pPr>
      <w:rPr>
        <w:rFonts w:hint="default"/>
        <w:lang w:val="zh-CN" w:eastAsia="zh-CN" w:bidi="zh-CN"/>
      </w:rPr>
    </w:lvl>
    <w:lvl w:ilvl="3" w:tentative="0">
      <w:start w:val="0"/>
      <w:numFmt w:val="bullet"/>
      <w:lvlText w:val="•"/>
      <w:lvlJc w:val="left"/>
      <w:pPr>
        <w:ind w:left="1825" w:hanging="361"/>
      </w:pPr>
      <w:rPr>
        <w:rFonts w:hint="default"/>
        <w:lang w:val="zh-CN" w:eastAsia="zh-CN" w:bidi="zh-CN"/>
      </w:rPr>
    </w:lvl>
    <w:lvl w:ilvl="4" w:tentative="0">
      <w:start w:val="0"/>
      <w:numFmt w:val="bullet"/>
      <w:lvlText w:val="•"/>
      <w:lvlJc w:val="left"/>
      <w:pPr>
        <w:ind w:left="2280" w:hanging="361"/>
      </w:pPr>
      <w:rPr>
        <w:rFonts w:hint="default"/>
        <w:lang w:val="zh-CN" w:eastAsia="zh-CN" w:bidi="zh-CN"/>
      </w:rPr>
    </w:lvl>
    <w:lvl w:ilvl="5" w:tentative="0">
      <w:start w:val="0"/>
      <w:numFmt w:val="bullet"/>
      <w:lvlText w:val="•"/>
      <w:lvlJc w:val="left"/>
      <w:pPr>
        <w:ind w:left="2736" w:hanging="361"/>
      </w:pPr>
      <w:rPr>
        <w:rFonts w:hint="default"/>
        <w:lang w:val="zh-CN" w:eastAsia="zh-CN" w:bidi="zh-CN"/>
      </w:rPr>
    </w:lvl>
    <w:lvl w:ilvl="6" w:tentative="0">
      <w:start w:val="0"/>
      <w:numFmt w:val="bullet"/>
      <w:lvlText w:val="•"/>
      <w:lvlJc w:val="left"/>
      <w:pPr>
        <w:ind w:left="3191" w:hanging="361"/>
      </w:pPr>
      <w:rPr>
        <w:rFonts w:hint="default"/>
        <w:lang w:val="zh-CN" w:eastAsia="zh-CN" w:bidi="zh-CN"/>
      </w:rPr>
    </w:lvl>
    <w:lvl w:ilvl="7" w:tentative="0">
      <w:start w:val="0"/>
      <w:numFmt w:val="bullet"/>
      <w:lvlText w:val="•"/>
      <w:lvlJc w:val="left"/>
      <w:pPr>
        <w:ind w:left="3646" w:hanging="361"/>
      </w:pPr>
      <w:rPr>
        <w:rFonts w:hint="default"/>
        <w:lang w:val="zh-CN" w:eastAsia="zh-CN" w:bidi="zh-CN"/>
      </w:rPr>
    </w:lvl>
    <w:lvl w:ilvl="8" w:tentative="0">
      <w:start w:val="0"/>
      <w:numFmt w:val="bullet"/>
      <w:lvlText w:val="•"/>
      <w:lvlJc w:val="left"/>
      <w:pPr>
        <w:ind w:left="4101" w:hanging="361"/>
      </w:pPr>
      <w:rPr>
        <w:rFonts w:hint="default"/>
        <w:lang w:val="zh-CN" w:eastAsia="zh-CN" w:bidi="zh-CN"/>
      </w:rPr>
    </w:lvl>
  </w:abstractNum>
  <w:abstractNum w:abstractNumId="2">
    <w:nsid w:val="0709FD3E"/>
    <w:multiLevelType w:val="multilevel"/>
    <w:tmpl w:val="0709FD3E"/>
    <w:lvl w:ilvl="0" w:tentative="0">
      <w:start w:val="1"/>
      <w:numFmt w:val="decimal"/>
      <w:lvlText w:val="%1）"/>
      <w:lvlJc w:val="left"/>
      <w:pPr>
        <w:ind w:left="468" w:hanging="361"/>
      </w:pPr>
      <w:rPr>
        <w:rFonts w:hint="default" w:ascii="宋体" w:hAnsi="宋体" w:eastAsia="宋体" w:cs="宋体"/>
        <w:w w:val="100"/>
        <w:sz w:val="22"/>
        <w:szCs w:val="22"/>
        <w:lang w:val="zh-CN" w:eastAsia="zh-CN" w:bidi="zh-CN"/>
      </w:rPr>
    </w:lvl>
    <w:lvl w:ilvl="1" w:tentative="0">
      <w:start w:val="0"/>
      <w:numFmt w:val="bullet"/>
      <w:lvlText w:val="•"/>
      <w:lvlJc w:val="left"/>
      <w:pPr>
        <w:ind w:left="915" w:hanging="361"/>
      </w:pPr>
      <w:rPr>
        <w:rFonts w:hint="default"/>
        <w:lang w:val="zh-CN" w:eastAsia="zh-CN" w:bidi="zh-CN"/>
      </w:rPr>
    </w:lvl>
    <w:lvl w:ilvl="2" w:tentative="0">
      <w:start w:val="0"/>
      <w:numFmt w:val="bullet"/>
      <w:lvlText w:val="•"/>
      <w:lvlJc w:val="left"/>
      <w:pPr>
        <w:ind w:left="1370" w:hanging="361"/>
      </w:pPr>
      <w:rPr>
        <w:rFonts w:hint="default"/>
        <w:lang w:val="zh-CN" w:eastAsia="zh-CN" w:bidi="zh-CN"/>
      </w:rPr>
    </w:lvl>
    <w:lvl w:ilvl="3" w:tentative="0">
      <w:start w:val="0"/>
      <w:numFmt w:val="bullet"/>
      <w:lvlText w:val="•"/>
      <w:lvlJc w:val="left"/>
      <w:pPr>
        <w:ind w:left="1825" w:hanging="361"/>
      </w:pPr>
      <w:rPr>
        <w:rFonts w:hint="default"/>
        <w:lang w:val="zh-CN" w:eastAsia="zh-CN" w:bidi="zh-CN"/>
      </w:rPr>
    </w:lvl>
    <w:lvl w:ilvl="4" w:tentative="0">
      <w:start w:val="0"/>
      <w:numFmt w:val="bullet"/>
      <w:lvlText w:val="•"/>
      <w:lvlJc w:val="left"/>
      <w:pPr>
        <w:ind w:left="2280" w:hanging="361"/>
      </w:pPr>
      <w:rPr>
        <w:rFonts w:hint="default"/>
        <w:lang w:val="zh-CN" w:eastAsia="zh-CN" w:bidi="zh-CN"/>
      </w:rPr>
    </w:lvl>
    <w:lvl w:ilvl="5" w:tentative="0">
      <w:start w:val="0"/>
      <w:numFmt w:val="bullet"/>
      <w:lvlText w:val="•"/>
      <w:lvlJc w:val="left"/>
      <w:pPr>
        <w:ind w:left="2736" w:hanging="361"/>
      </w:pPr>
      <w:rPr>
        <w:rFonts w:hint="default"/>
        <w:lang w:val="zh-CN" w:eastAsia="zh-CN" w:bidi="zh-CN"/>
      </w:rPr>
    </w:lvl>
    <w:lvl w:ilvl="6" w:tentative="0">
      <w:start w:val="0"/>
      <w:numFmt w:val="bullet"/>
      <w:lvlText w:val="•"/>
      <w:lvlJc w:val="left"/>
      <w:pPr>
        <w:ind w:left="3191" w:hanging="361"/>
      </w:pPr>
      <w:rPr>
        <w:rFonts w:hint="default"/>
        <w:lang w:val="zh-CN" w:eastAsia="zh-CN" w:bidi="zh-CN"/>
      </w:rPr>
    </w:lvl>
    <w:lvl w:ilvl="7" w:tentative="0">
      <w:start w:val="0"/>
      <w:numFmt w:val="bullet"/>
      <w:lvlText w:val="•"/>
      <w:lvlJc w:val="left"/>
      <w:pPr>
        <w:ind w:left="3646" w:hanging="361"/>
      </w:pPr>
      <w:rPr>
        <w:rFonts w:hint="default"/>
        <w:lang w:val="zh-CN" w:eastAsia="zh-CN" w:bidi="zh-CN"/>
      </w:rPr>
    </w:lvl>
    <w:lvl w:ilvl="8" w:tentative="0">
      <w:start w:val="0"/>
      <w:numFmt w:val="bullet"/>
      <w:lvlText w:val="•"/>
      <w:lvlJc w:val="left"/>
      <w:pPr>
        <w:ind w:left="4101" w:hanging="361"/>
      </w:pPr>
      <w:rPr>
        <w:rFonts w:hint="default"/>
        <w:lang w:val="zh-CN" w:eastAsia="zh-CN" w:bidi="zh-CN"/>
      </w:rPr>
    </w:lvl>
  </w:abstractNum>
  <w:abstractNum w:abstractNumId="3">
    <w:nsid w:val="0CEF100B"/>
    <w:multiLevelType w:val="multilevel"/>
    <w:tmpl w:val="0CEF100B"/>
    <w:lvl w:ilvl="0" w:tentative="0">
      <w:start w:val="1"/>
      <w:numFmt w:val="decimal"/>
      <w:lvlText w:val="%1)"/>
      <w:lvlJc w:val="left"/>
      <w:pPr>
        <w:ind w:left="527" w:hanging="420"/>
      </w:pPr>
      <w:rPr>
        <w:rFonts w:hint="default" w:ascii="宋体" w:hAnsi="宋体" w:eastAsia="宋体" w:cs="宋体"/>
        <w:w w:val="100"/>
        <w:sz w:val="24"/>
        <w:szCs w:val="24"/>
        <w:lang w:val="zh-CN" w:eastAsia="zh-CN" w:bidi="zh-CN"/>
      </w:rPr>
    </w:lvl>
    <w:lvl w:ilvl="1" w:tentative="0">
      <w:start w:val="0"/>
      <w:numFmt w:val="bullet"/>
      <w:lvlText w:val="•"/>
      <w:lvlJc w:val="left"/>
      <w:pPr>
        <w:ind w:left="969" w:hanging="420"/>
      </w:pPr>
      <w:rPr>
        <w:rFonts w:hint="default"/>
        <w:lang w:val="zh-CN" w:eastAsia="zh-CN" w:bidi="zh-CN"/>
      </w:rPr>
    </w:lvl>
    <w:lvl w:ilvl="2" w:tentative="0">
      <w:start w:val="0"/>
      <w:numFmt w:val="bullet"/>
      <w:lvlText w:val="•"/>
      <w:lvlJc w:val="left"/>
      <w:pPr>
        <w:ind w:left="1418" w:hanging="420"/>
      </w:pPr>
      <w:rPr>
        <w:rFonts w:hint="default"/>
        <w:lang w:val="zh-CN" w:eastAsia="zh-CN" w:bidi="zh-CN"/>
      </w:rPr>
    </w:lvl>
    <w:lvl w:ilvl="3" w:tentative="0">
      <w:start w:val="0"/>
      <w:numFmt w:val="bullet"/>
      <w:lvlText w:val="•"/>
      <w:lvlJc w:val="left"/>
      <w:pPr>
        <w:ind w:left="1867" w:hanging="420"/>
      </w:pPr>
      <w:rPr>
        <w:rFonts w:hint="default"/>
        <w:lang w:val="zh-CN" w:eastAsia="zh-CN" w:bidi="zh-CN"/>
      </w:rPr>
    </w:lvl>
    <w:lvl w:ilvl="4" w:tentative="0">
      <w:start w:val="0"/>
      <w:numFmt w:val="bullet"/>
      <w:lvlText w:val="•"/>
      <w:lvlJc w:val="left"/>
      <w:pPr>
        <w:ind w:left="2316" w:hanging="420"/>
      </w:pPr>
      <w:rPr>
        <w:rFonts w:hint="default"/>
        <w:lang w:val="zh-CN" w:eastAsia="zh-CN" w:bidi="zh-CN"/>
      </w:rPr>
    </w:lvl>
    <w:lvl w:ilvl="5" w:tentative="0">
      <w:start w:val="0"/>
      <w:numFmt w:val="bullet"/>
      <w:lvlText w:val="•"/>
      <w:lvlJc w:val="left"/>
      <w:pPr>
        <w:ind w:left="2766" w:hanging="420"/>
      </w:pPr>
      <w:rPr>
        <w:rFonts w:hint="default"/>
        <w:lang w:val="zh-CN" w:eastAsia="zh-CN" w:bidi="zh-CN"/>
      </w:rPr>
    </w:lvl>
    <w:lvl w:ilvl="6" w:tentative="0">
      <w:start w:val="0"/>
      <w:numFmt w:val="bullet"/>
      <w:lvlText w:val="•"/>
      <w:lvlJc w:val="left"/>
      <w:pPr>
        <w:ind w:left="3215" w:hanging="420"/>
      </w:pPr>
      <w:rPr>
        <w:rFonts w:hint="default"/>
        <w:lang w:val="zh-CN" w:eastAsia="zh-CN" w:bidi="zh-CN"/>
      </w:rPr>
    </w:lvl>
    <w:lvl w:ilvl="7" w:tentative="0">
      <w:start w:val="0"/>
      <w:numFmt w:val="bullet"/>
      <w:lvlText w:val="•"/>
      <w:lvlJc w:val="left"/>
      <w:pPr>
        <w:ind w:left="3664" w:hanging="420"/>
      </w:pPr>
      <w:rPr>
        <w:rFonts w:hint="default"/>
        <w:lang w:val="zh-CN" w:eastAsia="zh-CN" w:bidi="zh-CN"/>
      </w:rPr>
    </w:lvl>
    <w:lvl w:ilvl="8" w:tentative="0">
      <w:start w:val="0"/>
      <w:numFmt w:val="bullet"/>
      <w:lvlText w:val="•"/>
      <w:lvlJc w:val="left"/>
      <w:pPr>
        <w:ind w:left="4113" w:hanging="420"/>
      </w:pPr>
      <w:rPr>
        <w:rFonts w:hint="default"/>
        <w:lang w:val="zh-CN" w:eastAsia="zh-CN" w:bidi="zh-CN"/>
      </w:rPr>
    </w:lvl>
  </w:abstractNum>
  <w:abstractNum w:abstractNumId="4">
    <w:nsid w:val="1C257C7B"/>
    <w:multiLevelType w:val="multilevel"/>
    <w:tmpl w:val="1C257C7B"/>
    <w:lvl w:ilvl="0" w:tentative="0">
      <w:start w:val="1"/>
      <w:numFmt w:val="decimal"/>
      <w:lvlText w:val="%1）"/>
      <w:lvlJc w:val="left"/>
      <w:pPr>
        <w:ind w:left="468" w:hanging="361"/>
      </w:pPr>
      <w:rPr>
        <w:rFonts w:hint="default" w:ascii="宋体" w:hAnsi="宋体" w:eastAsia="宋体" w:cs="宋体"/>
        <w:w w:val="100"/>
        <w:sz w:val="22"/>
        <w:szCs w:val="22"/>
        <w:lang w:val="zh-CN" w:eastAsia="zh-CN" w:bidi="zh-CN"/>
      </w:rPr>
    </w:lvl>
    <w:lvl w:ilvl="1" w:tentative="0">
      <w:start w:val="0"/>
      <w:numFmt w:val="bullet"/>
      <w:lvlText w:val="•"/>
      <w:lvlJc w:val="left"/>
      <w:pPr>
        <w:ind w:left="915" w:hanging="361"/>
      </w:pPr>
      <w:rPr>
        <w:rFonts w:hint="default"/>
        <w:lang w:val="zh-CN" w:eastAsia="zh-CN" w:bidi="zh-CN"/>
      </w:rPr>
    </w:lvl>
    <w:lvl w:ilvl="2" w:tentative="0">
      <w:start w:val="0"/>
      <w:numFmt w:val="bullet"/>
      <w:lvlText w:val="•"/>
      <w:lvlJc w:val="left"/>
      <w:pPr>
        <w:ind w:left="1370" w:hanging="361"/>
      </w:pPr>
      <w:rPr>
        <w:rFonts w:hint="default"/>
        <w:lang w:val="zh-CN" w:eastAsia="zh-CN" w:bidi="zh-CN"/>
      </w:rPr>
    </w:lvl>
    <w:lvl w:ilvl="3" w:tentative="0">
      <w:start w:val="0"/>
      <w:numFmt w:val="bullet"/>
      <w:lvlText w:val="•"/>
      <w:lvlJc w:val="left"/>
      <w:pPr>
        <w:ind w:left="1825" w:hanging="361"/>
      </w:pPr>
      <w:rPr>
        <w:rFonts w:hint="default"/>
        <w:lang w:val="zh-CN" w:eastAsia="zh-CN" w:bidi="zh-CN"/>
      </w:rPr>
    </w:lvl>
    <w:lvl w:ilvl="4" w:tentative="0">
      <w:start w:val="0"/>
      <w:numFmt w:val="bullet"/>
      <w:lvlText w:val="•"/>
      <w:lvlJc w:val="left"/>
      <w:pPr>
        <w:ind w:left="2280" w:hanging="361"/>
      </w:pPr>
      <w:rPr>
        <w:rFonts w:hint="default"/>
        <w:lang w:val="zh-CN" w:eastAsia="zh-CN" w:bidi="zh-CN"/>
      </w:rPr>
    </w:lvl>
    <w:lvl w:ilvl="5" w:tentative="0">
      <w:start w:val="0"/>
      <w:numFmt w:val="bullet"/>
      <w:lvlText w:val="•"/>
      <w:lvlJc w:val="left"/>
      <w:pPr>
        <w:ind w:left="2736" w:hanging="361"/>
      </w:pPr>
      <w:rPr>
        <w:rFonts w:hint="default"/>
        <w:lang w:val="zh-CN" w:eastAsia="zh-CN" w:bidi="zh-CN"/>
      </w:rPr>
    </w:lvl>
    <w:lvl w:ilvl="6" w:tentative="0">
      <w:start w:val="0"/>
      <w:numFmt w:val="bullet"/>
      <w:lvlText w:val="•"/>
      <w:lvlJc w:val="left"/>
      <w:pPr>
        <w:ind w:left="3191" w:hanging="361"/>
      </w:pPr>
      <w:rPr>
        <w:rFonts w:hint="default"/>
        <w:lang w:val="zh-CN" w:eastAsia="zh-CN" w:bidi="zh-CN"/>
      </w:rPr>
    </w:lvl>
    <w:lvl w:ilvl="7" w:tentative="0">
      <w:start w:val="0"/>
      <w:numFmt w:val="bullet"/>
      <w:lvlText w:val="•"/>
      <w:lvlJc w:val="left"/>
      <w:pPr>
        <w:ind w:left="3646" w:hanging="361"/>
      </w:pPr>
      <w:rPr>
        <w:rFonts w:hint="default"/>
        <w:lang w:val="zh-CN" w:eastAsia="zh-CN" w:bidi="zh-CN"/>
      </w:rPr>
    </w:lvl>
    <w:lvl w:ilvl="8" w:tentative="0">
      <w:start w:val="0"/>
      <w:numFmt w:val="bullet"/>
      <w:lvlText w:val="•"/>
      <w:lvlJc w:val="left"/>
      <w:pPr>
        <w:ind w:left="4101" w:hanging="361"/>
      </w:pPr>
      <w:rPr>
        <w:rFonts w:hint="default"/>
        <w:lang w:val="zh-CN" w:eastAsia="zh-CN" w:bidi="zh-CN"/>
      </w:rPr>
    </w:lvl>
  </w:abstractNum>
  <w:abstractNum w:abstractNumId="5">
    <w:nsid w:val="32A7AF2D"/>
    <w:multiLevelType w:val="multilevel"/>
    <w:tmpl w:val="32A7AF2D"/>
    <w:lvl w:ilvl="0" w:tentative="0">
      <w:start w:val="1"/>
      <w:numFmt w:val="decimal"/>
      <w:lvlText w:val="%1）"/>
      <w:lvlJc w:val="left"/>
      <w:pPr>
        <w:ind w:left="468" w:hanging="361"/>
      </w:pPr>
      <w:rPr>
        <w:rFonts w:hint="default"/>
        <w:w w:val="100"/>
        <w:lang w:val="zh-CN" w:eastAsia="zh-CN" w:bidi="zh-CN"/>
      </w:rPr>
    </w:lvl>
    <w:lvl w:ilvl="1" w:tentative="0">
      <w:start w:val="0"/>
      <w:numFmt w:val="bullet"/>
      <w:lvlText w:val="•"/>
      <w:lvlJc w:val="left"/>
      <w:pPr>
        <w:ind w:left="915" w:hanging="361"/>
      </w:pPr>
      <w:rPr>
        <w:rFonts w:hint="default"/>
        <w:lang w:val="zh-CN" w:eastAsia="zh-CN" w:bidi="zh-CN"/>
      </w:rPr>
    </w:lvl>
    <w:lvl w:ilvl="2" w:tentative="0">
      <w:start w:val="0"/>
      <w:numFmt w:val="bullet"/>
      <w:lvlText w:val="•"/>
      <w:lvlJc w:val="left"/>
      <w:pPr>
        <w:ind w:left="1370" w:hanging="361"/>
      </w:pPr>
      <w:rPr>
        <w:rFonts w:hint="default"/>
        <w:lang w:val="zh-CN" w:eastAsia="zh-CN" w:bidi="zh-CN"/>
      </w:rPr>
    </w:lvl>
    <w:lvl w:ilvl="3" w:tentative="0">
      <w:start w:val="0"/>
      <w:numFmt w:val="bullet"/>
      <w:lvlText w:val="•"/>
      <w:lvlJc w:val="left"/>
      <w:pPr>
        <w:ind w:left="1825" w:hanging="361"/>
      </w:pPr>
      <w:rPr>
        <w:rFonts w:hint="default"/>
        <w:lang w:val="zh-CN" w:eastAsia="zh-CN" w:bidi="zh-CN"/>
      </w:rPr>
    </w:lvl>
    <w:lvl w:ilvl="4" w:tentative="0">
      <w:start w:val="0"/>
      <w:numFmt w:val="bullet"/>
      <w:lvlText w:val="•"/>
      <w:lvlJc w:val="left"/>
      <w:pPr>
        <w:ind w:left="2280" w:hanging="361"/>
      </w:pPr>
      <w:rPr>
        <w:rFonts w:hint="default"/>
        <w:lang w:val="zh-CN" w:eastAsia="zh-CN" w:bidi="zh-CN"/>
      </w:rPr>
    </w:lvl>
    <w:lvl w:ilvl="5" w:tentative="0">
      <w:start w:val="0"/>
      <w:numFmt w:val="bullet"/>
      <w:lvlText w:val="•"/>
      <w:lvlJc w:val="left"/>
      <w:pPr>
        <w:ind w:left="2736" w:hanging="361"/>
      </w:pPr>
      <w:rPr>
        <w:rFonts w:hint="default"/>
        <w:lang w:val="zh-CN" w:eastAsia="zh-CN" w:bidi="zh-CN"/>
      </w:rPr>
    </w:lvl>
    <w:lvl w:ilvl="6" w:tentative="0">
      <w:start w:val="0"/>
      <w:numFmt w:val="bullet"/>
      <w:lvlText w:val="•"/>
      <w:lvlJc w:val="left"/>
      <w:pPr>
        <w:ind w:left="3191" w:hanging="361"/>
      </w:pPr>
      <w:rPr>
        <w:rFonts w:hint="default"/>
        <w:lang w:val="zh-CN" w:eastAsia="zh-CN" w:bidi="zh-CN"/>
      </w:rPr>
    </w:lvl>
    <w:lvl w:ilvl="7" w:tentative="0">
      <w:start w:val="0"/>
      <w:numFmt w:val="bullet"/>
      <w:lvlText w:val="•"/>
      <w:lvlJc w:val="left"/>
      <w:pPr>
        <w:ind w:left="3646" w:hanging="361"/>
      </w:pPr>
      <w:rPr>
        <w:rFonts w:hint="default"/>
        <w:lang w:val="zh-CN" w:eastAsia="zh-CN" w:bidi="zh-CN"/>
      </w:rPr>
    </w:lvl>
    <w:lvl w:ilvl="8" w:tentative="0">
      <w:start w:val="0"/>
      <w:numFmt w:val="bullet"/>
      <w:lvlText w:val="•"/>
      <w:lvlJc w:val="left"/>
      <w:pPr>
        <w:ind w:left="4101" w:hanging="361"/>
      </w:pPr>
      <w:rPr>
        <w:rFonts w:hint="default"/>
        <w:lang w:val="zh-CN" w:eastAsia="zh-CN" w:bidi="zh-CN"/>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wMzRlZTgzY2U0YTY0YTVkZmNlN2Y1MjljOWRjNTcifQ=="/>
    <w:docVar w:name="KSO_WPS_MARK_KEY" w:val="ff79ba7f-99b0-4d91-9e5e-ea017d93e177"/>
  </w:docVars>
  <w:rsids>
    <w:rsidRoot w:val="001B5836"/>
    <w:rsid w:val="00007EE9"/>
    <w:rsid w:val="00010FA7"/>
    <w:rsid w:val="00020502"/>
    <w:rsid w:val="00023C37"/>
    <w:rsid w:val="00024CB2"/>
    <w:rsid w:val="00031C9D"/>
    <w:rsid w:val="000324A1"/>
    <w:rsid w:val="0005184E"/>
    <w:rsid w:val="00051AE6"/>
    <w:rsid w:val="00056294"/>
    <w:rsid w:val="00057531"/>
    <w:rsid w:val="000720D4"/>
    <w:rsid w:val="000868F3"/>
    <w:rsid w:val="000A17B8"/>
    <w:rsid w:val="000B1D66"/>
    <w:rsid w:val="000B2A01"/>
    <w:rsid w:val="000C081D"/>
    <w:rsid w:val="000C5645"/>
    <w:rsid w:val="000C6ED7"/>
    <w:rsid w:val="000D6198"/>
    <w:rsid w:val="0011155E"/>
    <w:rsid w:val="00124F96"/>
    <w:rsid w:val="00146F9F"/>
    <w:rsid w:val="001513EE"/>
    <w:rsid w:val="00160D21"/>
    <w:rsid w:val="00165185"/>
    <w:rsid w:val="001655B0"/>
    <w:rsid w:val="00166F46"/>
    <w:rsid w:val="00173500"/>
    <w:rsid w:val="00192B91"/>
    <w:rsid w:val="0019606E"/>
    <w:rsid w:val="001A0A3E"/>
    <w:rsid w:val="001A23BB"/>
    <w:rsid w:val="001A618E"/>
    <w:rsid w:val="001B557D"/>
    <w:rsid w:val="001B5836"/>
    <w:rsid w:val="001B69C6"/>
    <w:rsid w:val="001C7A0A"/>
    <w:rsid w:val="001D5219"/>
    <w:rsid w:val="001E63A7"/>
    <w:rsid w:val="001F6454"/>
    <w:rsid w:val="002029CA"/>
    <w:rsid w:val="002366B1"/>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48E"/>
    <w:rsid w:val="003B7C36"/>
    <w:rsid w:val="003D5A7C"/>
    <w:rsid w:val="003F2981"/>
    <w:rsid w:val="003F5FD3"/>
    <w:rsid w:val="004103E3"/>
    <w:rsid w:val="004173FF"/>
    <w:rsid w:val="00417F42"/>
    <w:rsid w:val="00427726"/>
    <w:rsid w:val="00442F4F"/>
    <w:rsid w:val="00452AB2"/>
    <w:rsid w:val="00456AA5"/>
    <w:rsid w:val="00465808"/>
    <w:rsid w:val="0046715A"/>
    <w:rsid w:val="0047001C"/>
    <w:rsid w:val="004A4120"/>
    <w:rsid w:val="004A6E6E"/>
    <w:rsid w:val="004B4902"/>
    <w:rsid w:val="004B664A"/>
    <w:rsid w:val="004C4CCD"/>
    <w:rsid w:val="004E5062"/>
    <w:rsid w:val="004E63C0"/>
    <w:rsid w:val="004F05F7"/>
    <w:rsid w:val="005022E4"/>
    <w:rsid w:val="0050323B"/>
    <w:rsid w:val="005037DC"/>
    <w:rsid w:val="00513218"/>
    <w:rsid w:val="005141DA"/>
    <w:rsid w:val="00517F1F"/>
    <w:rsid w:val="005225D3"/>
    <w:rsid w:val="00557046"/>
    <w:rsid w:val="005609A0"/>
    <w:rsid w:val="00577530"/>
    <w:rsid w:val="0058382A"/>
    <w:rsid w:val="005847B4"/>
    <w:rsid w:val="00595074"/>
    <w:rsid w:val="005A06EF"/>
    <w:rsid w:val="005B536B"/>
    <w:rsid w:val="005C4181"/>
    <w:rsid w:val="005D6ED2"/>
    <w:rsid w:val="005E33A2"/>
    <w:rsid w:val="005E7933"/>
    <w:rsid w:val="005F5D8C"/>
    <w:rsid w:val="00627BA1"/>
    <w:rsid w:val="006323B5"/>
    <w:rsid w:val="00643F2B"/>
    <w:rsid w:val="00646984"/>
    <w:rsid w:val="006636AB"/>
    <w:rsid w:val="00676098"/>
    <w:rsid w:val="00676482"/>
    <w:rsid w:val="00680F53"/>
    <w:rsid w:val="00691AE4"/>
    <w:rsid w:val="006A15CA"/>
    <w:rsid w:val="006A6619"/>
    <w:rsid w:val="006B56EF"/>
    <w:rsid w:val="006C5344"/>
    <w:rsid w:val="006D3294"/>
    <w:rsid w:val="006D62C8"/>
    <w:rsid w:val="006E1297"/>
    <w:rsid w:val="006E300D"/>
    <w:rsid w:val="006E48C5"/>
    <w:rsid w:val="006E4A01"/>
    <w:rsid w:val="006E6BE0"/>
    <w:rsid w:val="00711764"/>
    <w:rsid w:val="00716ABA"/>
    <w:rsid w:val="00716ED1"/>
    <w:rsid w:val="00724AE1"/>
    <w:rsid w:val="0073364E"/>
    <w:rsid w:val="00751FB8"/>
    <w:rsid w:val="007534C4"/>
    <w:rsid w:val="00765DD5"/>
    <w:rsid w:val="007762BE"/>
    <w:rsid w:val="00776B52"/>
    <w:rsid w:val="0078603A"/>
    <w:rsid w:val="007A6A4B"/>
    <w:rsid w:val="007A7D4D"/>
    <w:rsid w:val="007C44A6"/>
    <w:rsid w:val="007D52F4"/>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12B07"/>
    <w:rsid w:val="00942D28"/>
    <w:rsid w:val="00960566"/>
    <w:rsid w:val="00972052"/>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97DE3"/>
    <w:rsid w:val="00AA7C8E"/>
    <w:rsid w:val="00AC38D7"/>
    <w:rsid w:val="00AD0351"/>
    <w:rsid w:val="00AD5D77"/>
    <w:rsid w:val="00AE57DC"/>
    <w:rsid w:val="00AE7CD1"/>
    <w:rsid w:val="00AF0543"/>
    <w:rsid w:val="00AF15F7"/>
    <w:rsid w:val="00AF5FCD"/>
    <w:rsid w:val="00B12DD6"/>
    <w:rsid w:val="00B226F7"/>
    <w:rsid w:val="00B471C3"/>
    <w:rsid w:val="00B71805"/>
    <w:rsid w:val="00B72D47"/>
    <w:rsid w:val="00B83A6D"/>
    <w:rsid w:val="00B84027"/>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044C"/>
    <w:rsid w:val="00C428E6"/>
    <w:rsid w:val="00C46C64"/>
    <w:rsid w:val="00C56552"/>
    <w:rsid w:val="00C618E5"/>
    <w:rsid w:val="00C63ED9"/>
    <w:rsid w:val="00C644A9"/>
    <w:rsid w:val="00C64A13"/>
    <w:rsid w:val="00C74210"/>
    <w:rsid w:val="00C86240"/>
    <w:rsid w:val="00C87C43"/>
    <w:rsid w:val="00C9144F"/>
    <w:rsid w:val="00C9280E"/>
    <w:rsid w:val="00C93FB8"/>
    <w:rsid w:val="00CA39E2"/>
    <w:rsid w:val="00CA43FB"/>
    <w:rsid w:val="00CA581A"/>
    <w:rsid w:val="00CA6260"/>
    <w:rsid w:val="00CB79CF"/>
    <w:rsid w:val="00CC239D"/>
    <w:rsid w:val="00CC2428"/>
    <w:rsid w:val="00CC2996"/>
    <w:rsid w:val="00D06A8E"/>
    <w:rsid w:val="00D41E31"/>
    <w:rsid w:val="00D435BA"/>
    <w:rsid w:val="00D43929"/>
    <w:rsid w:val="00D45E3D"/>
    <w:rsid w:val="00D50574"/>
    <w:rsid w:val="00D55E9E"/>
    <w:rsid w:val="00D60FBD"/>
    <w:rsid w:val="00D66AF1"/>
    <w:rsid w:val="00D85347"/>
    <w:rsid w:val="00DA626B"/>
    <w:rsid w:val="00DB02F8"/>
    <w:rsid w:val="00DB1791"/>
    <w:rsid w:val="00DB4794"/>
    <w:rsid w:val="00DC2000"/>
    <w:rsid w:val="00DE1799"/>
    <w:rsid w:val="00DF2A80"/>
    <w:rsid w:val="00DF387B"/>
    <w:rsid w:val="00DF7835"/>
    <w:rsid w:val="00E0445B"/>
    <w:rsid w:val="00E0526B"/>
    <w:rsid w:val="00E0579B"/>
    <w:rsid w:val="00E21F81"/>
    <w:rsid w:val="00E251AF"/>
    <w:rsid w:val="00E273BA"/>
    <w:rsid w:val="00E277E0"/>
    <w:rsid w:val="00E30F74"/>
    <w:rsid w:val="00E45217"/>
    <w:rsid w:val="00E60EB5"/>
    <w:rsid w:val="00E74663"/>
    <w:rsid w:val="00E76283"/>
    <w:rsid w:val="00E80C65"/>
    <w:rsid w:val="00EA5B93"/>
    <w:rsid w:val="00EA5E0C"/>
    <w:rsid w:val="00ED0D63"/>
    <w:rsid w:val="00ED10FA"/>
    <w:rsid w:val="00ED110D"/>
    <w:rsid w:val="00ED33F8"/>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8552F"/>
    <w:rsid w:val="00FA7F69"/>
    <w:rsid w:val="00FB372D"/>
    <w:rsid w:val="00FC519D"/>
    <w:rsid w:val="00FD457C"/>
    <w:rsid w:val="00FD4ED3"/>
    <w:rsid w:val="00FE425A"/>
    <w:rsid w:val="09696BD7"/>
    <w:rsid w:val="10E65DFE"/>
    <w:rsid w:val="130B2FC9"/>
    <w:rsid w:val="1C2D5B40"/>
    <w:rsid w:val="1D3521BE"/>
    <w:rsid w:val="268C3D52"/>
    <w:rsid w:val="2C4B5AD5"/>
    <w:rsid w:val="2F865C08"/>
    <w:rsid w:val="4012098A"/>
    <w:rsid w:val="4D7E2A43"/>
    <w:rsid w:val="51C36F40"/>
    <w:rsid w:val="556F163B"/>
    <w:rsid w:val="69750B97"/>
    <w:rsid w:val="6A8C4F91"/>
    <w:rsid w:val="76995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autoRedefine/>
    <w:qFormat/>
    <w:uiPriority w:val="0"/>
    <w:pPr>
      <w:keepNext/>
      <w:spacing w:line="360" w:lineRule="auto"/>
      <w:jc w:val="center"/>
      <w:outlineLvl w:val="0"/>
    </w:pPr>
    <w:rPr>
      <w:rFonts w:ascii="Arial" w:hAnsi="Arial" w:eastAsia="华文中宋"/>
      <w:b/>
      <w:color w:val="000000"/>
      <w:sz w:val="32"/>
    </w:rPr>
  </w:style>
  <w:style w:type="paragraph" w:styleId="5">
    <w:name w:val="heading 2"/>
    <w:basedOn w:val="4"/>
    <w:next w:val="1"/>
    <w:link w:val="28"/>
    <w:autoRedefine/>
    <w:qFormat/>
    <w:uiPriority w:val="0"/>
    <w:pPr>
      <w:keepNext/>
      <w:keepLines/>
      <w:spacing w:before="260" w:after="260" w:line="416" w:lineRule="auto"/>
      <w:outlineLvl w:val="1"/>
    </w:pPr>
    <w:rPr>
      <w:rFonts w:ascii="Arial" w:hAnsi="Arial" w:eastAsia="黑体"/>
      <w:bCs/>
      <w:sz w:val="32"/>
      <w:szCs w:val="32"/>
    </w:rPr>
  </w:style>
  <w:style w:type="paragraph" w:styleId="6">
    <w:name w:val="heading 3"/>
    <w:basedOn w:val="1"/>
    <w:next w:val="1"/>
    <w:autoRedefine/>
    <w:qFormat/>
    <w:uiPriority w:val="9"/>
    <w:pPr>
      <w:keepNext/>
      <w:keepLines/>
      <w:tabs>
        <w:tab w:val="left" w:pos="0"/>
      </w:tabs>
      <w:ind w:firstLine="0" w:firstLineChars="0"/>
      <w:outlineLvl w:val="2"/>
    </w:pPr>
    <w:rPr>
      <w:b/>
      <w:bCs/>
      <w:szCs w:val="24"/>
    </w:rPr>
  </w:style>
  <w:style w:type="paragraph" w:styleId="7">
    <w:name w:val="heading 4"/>
    <w:basedOn w:val="1"/>
    <w:next w:val="1"/>
    <w:autoRedefine/>
    <w:qFormat/>
    <w:uiPriority w:val="9"/>
    <w:pPr>
      <w:keepNext/>
      <w:keepLines/>
      <w:tabs>
        <w:tab w:val="left" w:pos="0"/>
      </w:tabs>
      <w:ind w:firstLine="0" w:firstLineChars="0"/>
      <w:outlineLvl w:val="3"/>
    </w:pPr>
    <w:rPr>
      <w:b/>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unhideWhenUsed/>
    <w:qFormat/>
    <w:uiPriority w:val="0"/>
    <w:pPr>
      <w:ind w:firstLine="1441"/>
    </w:pPr>
  </w:style>
  <w:style w:type="paragraph" w:styleId="3">
    <w:name w:val="Body Text"/>
    <w:basedOn w:val="1"/>
    <w:autoRedefine/>
    <w:semiHidden/>
    <w:unhideWhenUsed/>
    <w:qFormat/>
    <w:uiPriority w:val="99"/>
    <w:pPr>
      <w:spacing w:after="120"/>
    </w:pPr>
  </w:style>
  <w:style w:type="paragraph" w:styleId="8">
    <w:name w:val="Normal Indent"/>
    <w:basedOn w:val="1"/>
    <w:next w:val="1"/>
    <w:link w:val="26"/>
    <w:autoRedefine/>
    <w:qFormat/>
    <w:uiPriority w:val="0"/>
    <w:pPr>
      <w:ind w:firstLine="420" w:firstLineChars="200"/>
    </w:pPr>
    <w:rPr>
      <w:szCs w:val="20"/>
    </w:rPr>
  </w:style>
  <w:style w:type="paragraph" w:styleId="9">
    <w:name w:val="Body Text Indent"/>
    <w:basedOn w:val="1"/>
    <w:link w:val="29"/>
    <w:autoRedefine/>
    <w:semiHidden/>
    <w:unhideWhenUsed/>
    <w:qFormat/>
    <w:uiPriority w:val="99"/>
    <w:pPr>
      <w:spacing w:after="120"/>
      <w:ind w:left="420" w:leftChars="200"/>
    </w:pPr>
    <w:rPr>
      <w:rFonts w:asciiTheme="minorHAnsi" w:hAnsiTheme="minorHAnsi" w:eastAsiaTheme="minorEastAsia" w:cstheme="minorBidi"/>
    </w:rPr>
  </w:style>
  <w:style w:type="paragraph" w:styleId="10">
    <w:name w:val="Date"/>
    <w:basedOn w:val="1"/>
    <w:next w:val="1"/>
    <w:link w:val="25"/>
    <w:autoRedefine/>
    <w:qFormat/>
    <w:uiPriority w:val="0"/>
    <w:rPr>
      <w:sz w:val="24"/>
      <w:szCs w:val="20"/>
    </w:rPr>
  </w:style>
  <w:style w:type="paragraph" w:styleId="11">
    <w:name w:val="Balloon Text"/>
    <w:basedOn w:val="1"/>
    <w:link w:val="22"/>
    <w:autoRedefine/>
    <w:semiHidden/>
    <w:unhideWhenUsed/>
    <w:qFormat/>
    <w:uiPriority w:val="99"/>
    <w:rPr>
      <w:sz w:val="18"/>
      <w:szCs w:val="18"/>
    </w:rPr>
  </w:style>
  <w:style w:type="paragraph" w:styleId="12">
    <w:name w:val="footer"/>
    <w:basedOn w:val="1"/>
    <w:link w:val="21"/>
    <w:autoRedefine/>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20"/>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table" w:styleId="16">
    <w:name w:val="Table Grid"/>
    <w:basedOn w:val="15"/>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rPr>
  </w:style>
  <w:style w:type="character" w:styleId="19">
    <w:name w:val="page number"/>
    <w:basedOn w:val="17"/>
    <w:autoRedefine/>
    <w:qFormat/>
    <w:uiPriority w:val="0"/>
  </w:style>
  <w:style w:type="character" w:customStyle="1" w:styleId="20">
    <w:name w:val="页眉 Char"/>
    <w:basedOn w:val="17"/>
    <w:link w:val="13"/>
    <w:autoRedefine/>
    <w:qFormat/>
    <w:uiPriority w:val="99"/>
    <w:rPr>
      <w:sz w:val="18"/>
      <w:szCs w:val="18"/>
    </w:rPr>
  </w:style>
  <w:style w:type="character" w:customStyle="1" w:styleId="21">
    <w:name w:val="页脚 Char"/>
    <w:basedOn w:val="17"/>
    <w:link w:val="12"/>
    <w:autoRedefine/>
    <w:qFormat/>
    <w:uiPriority w:val="0"/>
    <w:rPr>
      <w:sz w:val="18"/>
      <w:szCs w:val="18"/>
    </w:rPr>
  </w:style>
  <w:style w:type="character" w:customStyle="1" w:styleId="22">
    <w:name w:val="批注框文本 Char"/>
    <w:basedOn w:val="17"/>
    <w:link w:val="11"/>
    <w:autoRedefine/>
    <w:semiHidden/>
    <w:qFormat/>
    <w:uiPriority w:val="99"/>
    <w:rPr>
      <w:rFonts w:ascii="Times New Roman" w:hAnsi="Times New Roman" w:eastAsia="宋体" w:cs="Times New Roman"/>
      <w:sz w:val="18"/>
      <w:szCs w:val="18"/>
    </w:rPr>
  </w:style>
  <w:style w:type="paragraph" w:styleId="23">
    <w:name w:val="List Paragraph"/>
    <w:basedOn w:val="1"/>
    <w:autoRedefine/>
    <w:qFormat/>
    <w:uiPriority w:val="34"/>
    <w:pPr>
      <w:ind w:firstLine="420" w:firstLineChars="200"/>
    </w:pPr>
  </w:style>
  <w:style w:type="paragraph" w:customStyle="1" w:styleId="24">
    <w:name w:val="彩色列表 - 强调文字颜色 11"/>
    <w:basedOn w:val="1"/>
    <w:autoRedefine/>
    <w:qFormat/>
    <w:uiPriority w:val="34"/>
    <w:pPr>
      <w:ind w:firstLine="420" w:firstLineChars="200"/>
    </w:pPr>
    <w:rPr>
      <w:rFonts w:ascii="Calibri" w:hAnsi="Calibri"/>
      <w:szCs w:val="22"/>
    </w:rPr>
  </w:style>
  <w:style w:type="character" w:customStyle="1" w:styleId="25">
    <w:name w:val="日期 Char"/>
    <w:basedOn w:val="17"/>
    <w:link w:val="10"/>
    <w:autoRedefine/>
    <w:qFormat/>
    <w:uiPriority w:val="0"/>
    <w:rPr>
      <w:rFonts w:ascii="Times New Roman" w:hAnsi="Times New Roman" w:eastAsia="宋体" w:cs="Times New Roman"/>
      <w:sz w:val="24"/>
      <w:szCs w:val="20"/>
    </w:rPr>
  </w:style>
  <w:style w:type="character" w:customStyle="1" w:styleId="26">
    <w:name w:val="正文缩进 Char"/>
    <w:link w:val="8"/>
    <w:autoRedefine/>
    <w:qFormat/>
    <w:uiPriority w:val="0"/>
    <w:rPr>
      <w:rFonts w:ascii="Times New Roman" w:hAnsi="Times New Roman" w:eastAsia="宋体" w:cs="Times New Roman"/>
      <w:szCs w:val="20"/>
    </w:rPr>
  </w:style>
  <w:style w:type="character" w:customStyle="1" w:styleId="27">
    <w:name w:val="15_0"/>
    <w:autoRedefine/>
    <w:qFormat/>
    <w:uiPriority w:val="0"/>
    <w:rPr>
      <w:rFonts w:hint="default" w:ascii="Times New Roman" w:hAnsi="Times New Roman" w:cs="Times New Roman"/>
      <w:color w:val="0000FF"/>
      <w:u w:val="single"/>
    </w:rPr>
  </w:style>
  <w:style w:type="character" w:customStyle="1" w:styleId="28">
    <w:name w:val="标题 2 Char"/>
    <w:basedOn w:val="17"/>
    <w:link w:val="5"/>
    <w:autoRedefine/>
    <w:qFormat/>
    <w:uiPriority w:val="0"/>
    <w:rPr>
      <w:rFonts w:ascii="Arial" w:hAnsi="Arial" w:eastAsia="黑体" w:cs="Times New Roman"/>
      <w:b/>
      <w:bCs/>
      <w:sz w:val="32"/>
      <w:szCs w:val="32"/>
    </w:rPr>
  </w:style>
  <w:style w:type="character" w:customStyle="1" w:styleId="29">
    <w:name w:val="正文文本缩进 Char"/>
    <w:basedOn w:val="17"/>
    <w:link w:val="9"/>
    <w:autoRedefine/>
    <w:semiHidden/>
    <w:qFormat/>
    <w:uiPriority w:val="99"/>
    <w:rPr>
      <w:kern w:val="2"/>
      <w:sz w:val="21"/>
      <w:szCs w:val="24"/>
    </w:rPr>
  </w:style>
  <w:style w:type="paragraph" w:customStyle="1" w:styleId="30">
    <w:name w:val="表格"/>
    <w:basedOn w:val="1"/>
    <w:autoRedefine/>
    <w:qFormat/>
    <w:uiPriority w:val="0"/>
    <w:pPr>
      <w:snapToGrid w:val="0"/>
      <w:spacing w:line="240" w:lineRule="auto"/>
      <w:ind w:firstLine="0" w:firstLineChars="0"/>
    </w:pPr>
  </w:style>
  <w:style w:type="paragraph" w:customStyle="1" w:styleId="31">
    <w:name w:val="正文2"/>
    <w:basedOn w:val="1"/>
    <w:autoRedefine/>
    <w:qFormat/>
    <w:uiPriority w:val="0"/>
    <w:pPr>
      <w:adjustRightInd w:val="0"/>
      <w:ind w:firstLine="480"/>
    </w:pPr>
    <w:rPr>
      <w:rFonts w:ascii="宋体" w:hAnsi="宋体" w:cs="宋体"/>
      <w:szCs w:val="24"/>
    </w:rPr>
  </w:style>
  <w:style w:type="paragraph" w:customStyle="1" w:styleId="32">
    <w:name w:val="Table Paragraph"/>
    <w:basedOn w:val="1"/>
    <w:autoRedefine/>
    <w:unhideWhenUsed/>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78937-23E2-47C6-BB2B-78D2802A8A42}">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492</Words>
  <Characters>545</Characters>
  <Lines>67</Lines>
  <Paragraphs>19</Paragraphs>
  <TotalTime>0</TotalTime>
  <ScaleCrop>false</ScaleCrop>
  <LinksUpToDate>false</LinksUpToDate>
  <CharactersWithSpaces>587</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2024-04-02T01:45:00Z</dcterms:created>
  <dc:creator>Estella</dc:creator>
  <cp:lastModifiedBy>菜菜</cp:lastModifiedBy>
  <dcterms:modified xsi:type="dcterms:W3CDTF">2025-08-13T08:18:51Z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7F0EA5990F2C47C1AA054576A7A92DA2_12</vt:lpwstr>
  </property>
  <property fmtid="{D5CDD505-2E9C-101B-9397-08002B2CF9AE}" pid="4" name="KSOTemplateDocerSaveRecord">
    <vt:lpwstr>eyJoZGlkIjoiNGM5MzdkNGE1ODFkNTBmMzRkY2Q4YmNkNDQ2MmFhNWUiLCJ1c2VySWQiOiIxMjExMDA5OTU3In0=</vt:lpwstr>
  </property>
</Properties>
</file>