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15</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8</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15</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1</w:t>
            </w:r>
          </w:p>
        </w:tc>
        <w:tc>
          <w:tcPr>
            <w:tcW w:w="2625" w:type="dxa"/>
            <w:shd w:val="clear" w:color="auto" w:fill="auto"/>
            <w:vAlign w:val="center"/>
          </w:tcPr>
          <w:p w14:paraId="38E1168A">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鼓室成形术假体</w:t>
            </w:r>
          </w:p>
        </w:tc>
        <w:tc>
          <w:tcPr>
            <w:tcW w:w="5640" w:type="dxa"/>
            <w:shd w:val="clear" w:color="auto" w:fill="auto"/>
            <w:vAlign w:val="center"/>
          </w:tcPr>
          <w:p w14:paraId="0DEFA56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适用于人体中耳听骨部分或完全的替代，尽可能减小听力的损失，重建声音从鼓膜到卵圆窗的机械传导。适用于镫骨上结构病变引起听骨链异常、中耳炎听骨链异常病人。</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2</w:t>
            </w:r>
          </w:p>
        </w:tc>
        <w:tc>
          <w:tcPr>
            <w:tcW w:w="2625" w:type="dxa"/>
            <w:shd w:val="clear" w:color="auto" w:fill="auto"/>
            <w:vAlign w:val="center"/>
          </w:tcPr>
          <w:p w14:paraId="21269D29">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镫骨成形术假体</w:t>
            </w:r>
          </w:p>
        </w:tc>
        <w:tc>
          <w:tcPr>
            <w:tcW w:w="5640" w:type="dxa"/>
            <w:shd w:val="clear" w:color="auto" w:fill="auto"/>
            <w:vAlign w:val="center"/>
          </w:tcPr>
          <w:p w14:paraId="01247761">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适用于人体中耳听骨部分或完全的替换，尽可能减小听力的损失，重建声音从鼓膜到卵圆窗的机械传导。适用于镫骨病变引起听骨链异常、耳硬化症病人。</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3</w:t>
            </w:r>
          </w:p>
        </w:tc>
        <w:tc>
          <w:tcPr>
            <w:tcW w:w="2625" w:type="dxa"/>
            <w:shd w:val="clear" w:color="auto" w:fill="auto"/>
            <w:vAlign w:val="center"/>
          </w:tcPr>
          <w:p w14:paraId="6C6D24B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含利多卡因胶原蛋白植入剂</w:t>
            </w:r>
          </w:p>
        </w:tc>
        <w:tc>
          <w:tcPr>
            <w:tcW w:w="5640" w:type="dxa"/>
            <w:shd w:val="clear" w:color="auto" w:fill="auto"/>
            <w:vAlign w:val="center"/>
          </w:tcPr>
          <w:p w14:paraId="31C0E131">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用于面部真皮组织中层至深层注射以纠正鼻唇沟重力性皱纹。</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4</w:t>
            </w:r>
          </w:p>
        </w:tc>
        <w:tc>
          <w:tcPr>
            <w:tcW w:w="2625" w:type="dxa"/>
            <w:shd w:val="clear" w:color="auto" w:fill="auto"/>
            <w:vAlign w:val="center"/>
          </w:tcPr>
          <w:p w14:paraId="0F78A99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复合磷酸钙骨植入材料</w:t>
            </w:r>
          </w:p>
        </w:tc>
        <w:tc>
          <w:tcPr>
            <w:tcW w:w="5640" w:type="dxa"/>
            <w:shd w:val="clear" w:color="auto" w:fill="auto"/>
            <w:vAlign w:val="center"/>
          </w:tcPr>
          <w:p w14:paraId="70E2919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适用于非承重性骨缺损的填充。</w:t>
            </w:r>
          </w:p>
        </w:tc>
      </w:tr>
      <w:tr w14:paraId="447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406469E5">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5</w:t>
            </w:r>
          </w:p>
        </w:tc>
        <w:tc>
          <w:tcPr>
            <w:tcW w:w="2625" w:type="dxa"/>
            <w:shd w:val="clear" w:color="auto" w:fill="auto"/>
            <w:vAlign w:val="center"/>
          </w:tcPr>
          <w:p w14:paraId="30EC77C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default" w:ascii="宋体" w:hAnsi="宋体"/>
                <w:sz w:val="24"/>
                <w:lang w:val="en-US" w:eastAsia="zh-CN"/>
              </w:rPr>
              <w:t>可吸收微型骨板</w:t>
            </w:r>
          </w:p>
        </w:tc>
        <w:tc>
          <w:tcPr>
            <w:tcW w:w="5640" w:type="dxa"/>
            <w:shd w:val="clear" w:color="auto" w:fill="auto"/>
            <w:vAlign w:val="center"/>
          </w:tcPr>
          <w:p w14:paraId="24058DF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用于面部骨组织整形手术，眼眶眶缘与颧骨部位。</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宋体" w:hAnsi="宋体"/>
                <w:sz w:val="24"/>
                <w:lang w:val="en-US" w:eastAsia="zh-CN"/>
              </w:rPr>
            </w:pPr>
            <w:r>
              <w:rPr>
                <w:rFonts w:hint="eastAsia" w:ascii="宋体" w:hAnsi="宋体"/>
                <w:sz w:val="24"/>
                <w:lang w:val="en-US" w:eastAsia="zh-CN"/>
              </w:rPr>
              <w:t>7</w:t>
            </w:r>
          </w:p>
        </w:tc>
        <w:tc>
          <w:tcPr>
            <w:tcW w:w="2625" w:type="dxa"/>
            <w:shd w:val="clear" w:color="auto" w:fill="auto"/>
            <w:vAlign w:val="center"/>
          </w:tcPr>
          <w:p w14:paraId="31FA462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封片机胶带</w:t>
            </w:r>
          </w:p>
        </w:tc>
        <w:tc>
          <w:tcPr>
            <w:tcW w:w="5640" w:type="dxa"/>
            <w:shd w:val="clear" w:color="auto" w:fill="auto"/>
            <w:vAlign w:val="center"/>
          </w:tcPr>
          <w:p w14:paraId="3F3D394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需适配日本樱花封片机</w:t>
            </w:r>
          </w:p>
        </w:tc>
      </w:tr>
    </w:tbl>
    <w:p w14:paraId="2D303871">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08</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0F0CC136">
      <w:pPr>
        <w:adjustRightInd w:val="0"/>
        <w:snapToGrid w:val="0"/>
        <w:spacing w:line="360" w:lineRule="auto"/>
        <w:ind w:right="480"/>
        <w:jc w:val="center"/>
        <w:rPr>
          <w:rFonts w:ascii="宋体" w:hAnsi="宋体" w:cs="宋体"/>
          <w:b/>
          <w:snapToGrid w:val="0"/>
          <w:kern w:val="0"/>
          <w:sz w:val="32"/>
          <w:szCs w:val="20"/>
        </w:rPr>
      </w:pPr>
    </w:p>
    <w:p w14:paraId="22879637">
      <w:pPr>
        <w:adjustRightInd w:val="0"/>
        <w:snapToGrid w:val="0"/>
        <w:spacing w:line="360" w:lineRule="auto"/>
        <w:ind w:right="480"/>
        <w:jc w:val="center"/>
        <w:rPr>
          <w:rFonts w:ascii="宋体" w:hAnsi="宋体" w:cs="宋体"/>
          <w:b/>
          <w:snapToGrid w:val="0"/>
          <w:kern w:val="0"/>
          <w:sz w:val="32"/>
          <w:szCs w:val="20"/>
        </w:rPr>
      </w:pPr>
    </w:p>
    <w:p w14:paraId="35273F40">
      <w:pPr>
        <w:adjustRightInd w:val="0"/>
        <w:snapToGrid w:val="0"/>
        <w:spacing w:line="360" w:lineRule="auto"/>
        <w:ind w:right="480"/>
        <w:jc w:val="center"/>
        <w:rPr>
          <w:rFonts w:ascii="宋体" w:hAnsi="宋体" w:cs="宋体"/>
          <w:b/>
          <w:snapToGrid w:val="0"/>
          <w:kern w:val="0"/>
          <w:sz w:val="32"/>
          <w:szCs w:val="20"/>
        </w:rPr>
      </w:pPr>
    </w:p>
    <w:p w14:paraId="1E29A53B">
      <w:pPr>
        <w:adjustRightInd w:val="0"/>
        <w:snapToGrid w:val="0"/>
        <w:spacing w:line="360" w:lineRule="auto"/>
        <w:ind w:right="480"/>
        <w:jc w:val="center"/>
        <w:rPr>
          <w:rFonts w:ascii="宋体" w:hAnsi="宋体" w:cs="宋体"/>
          <w:b/>
          <w:snapToGrid w:val="0"/>
          <w:kern w:val="0"/>
          <w:sz w:val="32"/>
          <w:szCs w:val="20"/>
        </w:rPr>
      </w:pPr>
    </w:p>
    <w:p w14:paraId="013EEA7E">
      <w:pPr>
        <w:adjustRightInd w:val="0"/>
        <w:snapToGrid w:val="0"/>
        <w:spacing w:line="360" w:lineRule="auto"/>
        <w:ind w:right="480"/>
        <w:jc w:val="center"/>
        <w:rPr>
          <w:rFonts w:ascii="宋体" w:hAnsi="宋体" w:cs="宋体"/>
          <w:b/>
          <w:snapToGrid w:val="0"/>
          <w:kern w:val="0"/>
          <w:sz w:val="32"/>
          <w:szCs w:val="20"/>
        </w:rPr>
      </w:pPr>
    </w:p>
    <w:p w14:paraId="6F2D3F75">
      <w:pPr>
        <w:adjustRightInd w:val="0"/>
        <w:snapToGrid w:val="0"/>
        <w:spacing w:line="360" w:lineRule="auto"/>
        <w:ind w:right="480"/>
        <w:jc w:val="center"/>
        <w:rPr>
          <w:rFonts w:ascii="宋体" w:hAnsi="宋体" w:cs="宋体"/>
          <w:b/>
          <w:snapToGrid w:val="0"/>
          <w:kern w:val="0"/>
          <w:sz w:val="32"/>
          <w:szCs w:val="20"/>
        </w:rPr>
      </w:pPr>
    </w:p>
    <w:p w14:paraId="61CFBD87">
      <w:pPr>
        <w:adjustRightInd w:val="0"/>
        <w:snapToGrid w:val="0"/>
        <w:spacing w:line="360" w:lineRule="auto"/>
        <w:ind w:right="480"/>
        <w:jc w:val="center"/>
        <w:rPr>
          <w:rFonts w:ascii="宋体" w:hAnsi="宋体" w:cs="宋体"/>
          <w:b/>
          <w:snapToGrid w:val="0"/>
          <w:kern w:val="0"/>
          <w:sz w:val="32"/>
          <w:szCs w:val="20"/>
        </w:rPr>
      </w:pPr>
    </w:p>
    <w:p w14:paraId="6A6CD02D">
      <w:pPr>
        <w:adjustRightInd w:val="0"/>
        <w:snapToGrid w:val="0"/>
        <w:spacing w:line="360" w:lineRule="auto"/>
        <w:ind w:right="480"/>
        <w:jc w:val="center"/>
        <w:rPr>
          <w:rFonts w:ascii="宋体" w:hAnsi="宋体" w:cs="宋体"/>
          <w:b/>
          <w:snapToGrid w:val="0"/>
          <w:kern w:val="0"/>
          <w:sz w:val="32"/>
          <w:szCs w:val="20"/>
        </w:rPr>
      </w:pPr>
    </w:p>
    <w:p w14:paraId="783E8CF3">
      <w:pPr>
        <w:adjustRightInd w:val="0"/>
        <w:snapToGrid w:val="0"/>
        <w:spacing w:line="360" w:lineRule="auto"/>
        <w:ind w:right="480"/>
        <w:jc w:val="center"/>
        <w:rPr>
          <w:rFonts w:ascii="宋体" w:hAnsi="宋体" w:cs="宋体"/>
          <w:b/>
          <w:snapToGrid w:val="0"/>
          <w:kern w:val="0"/>
          <w:sz w:val="32"/>
          <w:szCs w:val="20"/>
        </w:rPr>
      </w:pPr>
    </w:p>
    <w:p w14:paraId="7D623622">
      <w:pPr>
        <w:adjustRightInd w:val="0"/>
        <w:snapToGrid w:val="0"/>
        <w:spacing w:line="360" w:lineRule="auto"/>
        <w:ind w:right="480"/>
        <w:jc w:val="center"/>
        <w:rPr>
          <w:rFonts w:ascii="宋体" w:hAnsi="宋体" w:cs="宋体"/>
          <w:b/>
          <w:snapToGrid w:val="0"/>
          <w:kern w:val="0"/>
          <w:sz w:val="32"/>
          <w:szCs w:val="20"/>
        </w:rPr>
      </w:pPr>
    </w:p>
    <w:p w14:paraId="38EFD6F4">
      <w:pPr>
        <w:adjustRightInd w:val="0"/>
        <w:snapToGrid w:val="0"/>
        <w:spacing w:line="360" w:lineRule="auto"/>
        <w:ind w:right="480"/>
        <w:jc w:val="center"/>
        <w:rPr>
          <w:rFonts w:ascii="宋体" w:hAnsi="宋体" w:cs="宋体"/>
          <w:b/>
          <w:snapToGrid w:val="0"/>
          <w:kern w:val="0"/>
          <w:sz w:val="32"/>
          <w:szCs w:val="20"/>
        </w:rPr>
      </w:pPr>
    </w:p>
    <w:p w14:paraId="6D668015">
      <w:pPr>
        <w:adjustRightInd w:val="0"/>
        <w:snapToGrid w:val="0"/>
        <w:spacing w:line="360" w:lineRule="auto"/>
        <w:ind w:right="480"/>
        <w:jc w:val="center"/>
        <w:rPr>
          <w:rFonts w:ascii="宋体" w:hAnsi="宋体" w:cs="宋体"/>
          <w:b/>
          <w:snapToGrid w:val="0"/>
          <w:kern w:val="0"/>
          <w:sz w:val="32"/>
          <w:szCs w:val="20"/>
        </w:rPr>
      </w:pPr>
    </w:p>
    <w:p w14:paraId="7F43C948">
      <w:pPr>
        <w:adjustRightInd w:val="0"/>
        <w:snapToGrid w:val="0"/>
        <w:spacing w:line="360" w:lineRule="auto"/>
        <w:ind w:right="480"/>
        <w:jc w:val="center"/>
        <w:rPr>
          <w:rFonts w:ascii="宋体" w:hAnsi="宋体" w:cs="宋体"/>
          <w:b/>
          <w:snapToGrid w:val="0"/>
          <w:kern w:val="0"/>
          <w:sz w:val="32"/>
          <w:szCs w:val="20"/>
        </w:rPr>
      </w:pPr>
    </w:p>
    <w:p w14:paraId="02030340">
      <w:pPr>
        <w:adjustRightInd w:val="0"/>
        <w:snapToGrid w:val="0"/>
        <w:spacing w:line="360" w:lineRule="auto"/>
        <w:ind w:right="480"/>
        <w:jc w:val="center"/>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bookmarkStart w:id="1" w:name="_GoBack"/>
      <w:bookmarkEnd w:id="1"/>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3BD7C1A"/>
    <w:rsid w:val="221D13AD"/>
    <w:rsid w:val="2A342987"/>
    <w:rsid w:val="2C8F15FC"/>
    <w:rsid w:val="32F028E2"/>
    <w:rsid w:val="38241197"/>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Users</Company>
  <Pages>21</Pages>
  <Words>1933</Words>
  <Characters>2118</Characters>
  <Lines>44</Lines>
  <Paragraphs>12</Paragraphs>
  <TotalTime>0</TotalTime>
  <ScaleCrop>false</ScaleCrop>
  <LinksUpToDate>false</LinksUpToDate>
  <CharactersWithSpaces>2130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2025-08-20T02:29:51Z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46970D731896440A88B5326A15E85061_13</vt:lpwstr>
  </property>
  <property fmtid="{D5CDD505-2E9C-101B-9397-08002B2CF9AE}" pid="4" name="KSOTemplateDocerSaveRecord">
    <vt:lpwstr>eyJoZGlkIjoiOWIxZmRlMjllYTcwNDNkOTA1MDBlOTZiYTE5NGIxOGMiLCJ1c2VySWQiOiIxMjUyMjMxNzQwIn0=</vt:lpwstr>
  </property>
</Properties>
</file>