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体外诊断试剂一批（重新招标）</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6</w:t>
      </w:r>
      <w:r>
        <w:rPr>
          <w:rFonts w:ascii="黑体" w:hAnsi="黑体" w:eastAsia="黑体"/>
          <w:sz w:val="32"/>
          <w:szCs w:val="32"/>
        </w:rPr>
        <w:t>0</w:t>
      </w:r>
      <w:r>
        <w:rPr>
          <w:rFonts w:hint="eastAsia" w:ascii="黑体" w:hAnsi="黑体" w:eastAsia="黑体"/>
          <w:sz w:val="32"/>
          <w:szCs w:val="32"/>
          <w:lang w:val="en-US" w:eastAsia="zh-CN"/>
        </w:rPr>
        <w:t>01</w:t>
      </w:r>
    </w:p>
    <w:p w14:paraId="7857CA8B">
      <w:pPr>
        <w:spacing w:before="312" w:beforeLines="100" w:line="240" w:lineRule="atLeast"/>
        <w:ind w:right="-108" w:firstLine="2240" w:firstLineChars="700"/>
        <w:jc w:val="left"/>
        <w:rPr>
          <w:rFonts w:hint="default" w:ascii="黑体" w:hAnsi="黑体" w:eastAsia="黑体"/>
          <w:sz w:val="32"/>
          <w:szCs w:val="32"/>
          <w:lang w:val="en-US" w:eastAsia="zh-CN"/>
        </w:rPr>
      </w:pP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6</w:t>
      </w:r>
      <w:r>
        <w:rPr>
          <w:rFonts w:ascii="黑体" w:hAnsi="黑体" w:eastAsia="黑体"/>
          <w:sz w:val="32"/>
          <w:szCs w:val="32"/>
        </w:rPr>
        <w:t>年</w:t>
      </w:r>
      <w:r>
        <w:rPr>
          <w:rFonts w:hint="eastAsia" w:ascii="黑体" w:hAnsi="黑体" w:eastAsia="黑体"/>
          <w:sz w:val="32"/>
          <w:szCs w:val="32"/>
          <w:lang w:val="en-US" w:eastAsia="zh-CN"/>
        </w:rPr>
        <w:t>2</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u w:val="single"/>
          <w:lang w:val="zh-CN"/>
          <w14:textFill>
            <w14:solidFill>
              <w14:schemeClr w14:val="tx1"/>
            </w14:solidFill>
          </w14:textFill>
        </w:rPr>
        <w:t>ZJYYHCZB-202</w:t>
      </w:r>
      <w:r>
        <w:rPr>
          <w:rFonts w:hint="eastAsia" w:ascii="宋体" w:hAnsi="宋体"/>
          <w:color w:val="000000" w:themeColor="text1"/>
          <w:sz w:val="24"/>
          <w:u w:val="single"/>
          <w:lang w:val="en-US" w:eastAsia="zh-CN"/>
          <w14:textFill>
            <w14:solidFill>
              <w14:schemeClr w14:val="tx1"/>
            </w14:solidFill>
          </w14:textFill>
        </w:rPr>
        <w:t>6</w:t>
      </w:r>
      <w:r>
        <w:rPr>
          <w:rFonts w:hint="eastAsia" w:ascii="宋体" w:hAnsi="宋体"/>
          <w:color w:val="000000" w:themeColor="text1"/>
          <w:sz w:val="24"/>
          <w:u w:val="single"/>
          <w:lang w:val="zh-CN"/>
          <w14:textFill>
            <w14:solidFill>
              <w14:schemeClr w14:val="tx1"/>
            </w14:solidFill>
          </w14:textFill>
        </w:rPr>
        <w:t>0</w:t>
      </w:r>
      <w:r>
        <w:rPr>
          <w:rFonts w:hint="eastAsia" w:ascii="宋体" w:hAnsi="宋体"/>
          <w:color w:val="000000" w:themeColor="text1"/>
          <w:sz w:val="24"/>
          <w:u w:val="single"/>
          <w:lang w:val="en-US" w:eastAsia="zh-CN"/>
          <w14:textFill>
            <w14:solidFill>
              <w14:schemeClr w14:val="tx1"/>
            </w14:solidFill>
          </w14:textFill>
        </w:rPr>
        <w:t>01</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10084" w:type="dxa"/>
        <w:tblInd w:w="-12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2599"/>
        <w:gridCol w:w="5584"/>
        <w:gridCol w:w="1114"/>
      </w:tblGrid>
      <w:tr w14:paraId="2B6B4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787"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599"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584"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c>
          <w:tcPr>
            <w:tcW w:w="1114" w:type="dxa"/>
            <w:shd w:val="clear" w:color="auto" w:fill="auto"/>
            <w:vAlign w:val="center"/>
          </w:tcPr>
          <w:p w14:paraId="472667EC">
            <w:pPr>
              <w:widowControl/>
              <w:jc w:val="left"/>
              <w:rPr>
                <w:rFonts w:hint="eastAsia" w:ascii="宋体" w:hAnsi="宋体" w:cs="宋体"/>
                <w:b/>
                <w:bCs/>
                <w:kern w:val="0"/>
                <w:sz w:val="24"/>
                <w:szCs w:val="24"/>
              </w:rPr>
            </w:pPr>
            <w:r>
              <w:rPr>
                <w:rFonts w:hint="eastAsia" w:ascii="宋体" w:hAnsi="宋体" w:cs="宋体"/>
                <w:b/>
                <w:bCs/>
                <w:kern w:val="0"/>
                <w:sz w:val="24"/>
                <w:szCs w:val="24"/>
              </w:rPr>
              <w:t>使用院区</w:t>
            </w:r>
          </w:p>
        </w:tc>
      </w:tr>
      <w:tr w14:paraId="580EF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87" w:type="dxa"/>
            <w:shd w:val="clear" w:color="auto" w:fill="auto"/>
            <w:vAlign w:val="center"/>
          </w:tcPr>
          <w:p w14:paraId="6F0049F6">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2</w:t>
            </w:r>
          </w:p>
        </w:tc>
        <w:tc>
          <w:tcPr>
            <w:tcW w:w="2599" w:type="dxa"/>
            <w:shd w:val="clear" w:color="auto" w:fill="auto"/>
            <w:vAlign w:val="center"/>
          </w:tcPr>
          <w:p w14:paraId="38E1168A">
            <w:pPr>
              <w:keepNext w:val="0"/>
              <w:keepLines w:val="0"/>
              <w:widowControl/>
              <w:suppressLineNumbers w:val="0"/>
              <w:jc w:val="left"/>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结核分枝杆菌IgG抗体检测试剂盒(胶体金法)</w:t>
            </w:r>
          </w:p>
        </w:tc>
        <w:tc>
          <w:tcPr>
            <w:tcW w:w="5584" w:type="dxa"/>
            <w:shd w:val="clear" w:color="auto" w:fill="auto"/>
            <w:vAlign w:val="center"/>
          </w:tcPr>
          <w:p w14:paraId="0DEFA562">
            <w:pPr>
              <w:keepNext w:val="0"/>
              <w:keepLines w:val="0"/>
              <w:widowControl/>
              <w:suppressLineNumbers w:val="0"/>
              <w:jc w:val="left"/>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提供配套质控品，要求室间质控有分组或提供相应方案</w:t>
            </w:r>
          </w:p>
        </w:tc>
        <w:tc>
          <w:tcPr>
            <w:tcW w:w="1114" w:type="dxa"/>
            <w:shd w:val="clear" w:color="auto" w:fill="auto"/>
            <w:vAlign w:val="center"/>
          </w:tcPr>
          <w:p w14:paraId="410A340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两院区</w:t>
            </w:r>
          </w:p>
        </w:tc>
      </w:tr>
      <w:tr w14:paraId="1C4F2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87" w:type="dxa"/>
            <w:shd w:val="clear" w:color="auto" w:fill="auto"/>
            <w:vAlign w:val="center"/>
          </w:tcPr>
          <w:p w14:paraId="6637B76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3.1</w:t>
            </w:r>
          </w:p>
        </w:tc>
        <w:tc>
          <w:tcPr>
            <w:tcW w:w="2599" w:type="dxa"/>
            <w:shd w:val="clear" w:color="auto" w:fill="auto"/>
            <w:vAlign w:val="center"/>
          </w:tcPr>
          <w:p w14:paraId="21269D29">
            <w:pPr>
              <w:keepNext w:val="0"/>
              <w:keepLines w:val="0"/>
              <w:widowControl/>
              <w:suppressLineNumbers w:val="0"/>
              <w:jc w:val="left"/>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地高辛测定试剂盒</w:t>
            </w:r>
          </w:p>
        </w:tc>
        <w:tc>
          <w:tcPr>
            <w:tcW w:w="5584" w:type="dxa"/>
            <w:shd w:val="clear" w:color="auto" w:fill="auto"/>
            <w:vAlign w:val="center"/>
          </w:tcPr>
          <w:p w14:paraId="01247761">
            <w:pPr>
              <w:keepNext w:val="0"/>
              <w:keepLines w:val="0"/>
              <w:widowControl/>
              <w:suppressLineNumbers w:val="0"/>
              <w:jc w:val="left"/>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全自动化学发光检测，提供配套校准品和质控品，要求室间质控有分组或提供相应方案。提供配套设备租赁方案，配套设备需有双向LIS和急诊通道</w:t>
            </w:r>
          </w:p>
        </w:tc>
        <w:tc>
          <w:tcPr>
            <w:tcW w:w="1114" w:type="dxa"/>
            <w:shd w:val="clear" w:color="auto" w:fill="auto"/>
            <w:vAlign w:val="center"/>
          </w:tcPr>
          <w:p w14:paraId="6DFFEC0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两院区</w:t>
            </w:r>
          </w:p>
        </w:tc>
      </w:tr>
      <w:tr w14:paraId="3AF33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87" w:type="dxa"/>
            <w:shd w:val="clear" w:color="auto" w:fill="auto"/>
            <w:vAlign w:val="center"/>
          </w:tcPr>
          <w:p w14:paraId="6A700D3E">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3.3</w:t>
            </w:r>
          </w:p>
        </w:tc>
        <w:tc>
          <w:tcPr>
            <w:tcW w:w="2599" w:type="dxa"/>
            <w:shd w:val="clear" w:color="auto" w:fill="auto"/>
            <w:vAlign w:val="center"/>
          </w:tcPr>
          <w:p w14:paraId="6C6D24B7">
            <w:pPr>
              <w:keepNext w:val="0"/>
              <w:keepLines w:val="0"/>
              <w:widowControl/>
              <w:suppressLineNumbers w:val="0"/>
              <w:jc w:val="left"/>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前列腺特异抗原测定试剂盒</w:t>
            </w:r>
          </w:p>
        </w:tc>
        <w:tc>
          <w:tcPr>
            <w:tcW w:w="5584" w:type="dxa"/>
            <w:shd w:val="clear" w:color="auto" w:fill="auto"/>
            <w:vAlign w:val="center"/>
          </w:tcPr>
          <w:p w14:paraId="31C0E131">
            <w:pPr>
              <w:keepNext w:val="0"/>
              <w:keepLines w:val="0"/>
              <w:widowControl/>
              <w:suppressLineNumbers w:val="0"/>
              <w:jc w:val="left"/>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全自动化学发光检测，提供配套校准品和质控品，要求室间质控有分组或提供相应方案。提供配套设备租赁方案，配套设备需有双向LIS和急诊通道</w:t>
            </w:r>
          </w:p>
        </w:tc>
        <w:tc>
          <w:tcPr>
            <w:tcW w:w="1114" w:type="dxa"/>
            <w:shd w:val="clear" w:color="auto" w:fill="auto"/>
            <w:vAlign w:val="center"/>
          </w:tcPr>
          <w:p w14:paraId="2A7094F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两院区</w:t>
            </w:r>
          </w:p>
        </w:tc>
      </w:tr>
      <w:tr w14:paraId="42B6C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87" w:type="dxa"/>
            <w:shd w:val="clear" w:color="auto" w:fill="auto"/>
            <w:vAlign w:val="center"/>
          </w:tcPr>
          <w:p w14:paraId="29510AA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3.4</w:t>
            </w:r>
          </w:p>
        </w:tc>
        <w:tc>
          <w:tcPr>
            <w:tcW w:w="2599" w:type="dxa"/>
            <w:shd w:val="clear" w:color="auto" w:fill="auto"/>
            <w:vAlign w:val="center"/>
          </w:tcPr>
          <w:p w14:paraId="0E1852A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前列腺特异性抗原同源异构体测定试剂盒</w:t>
            </w:r>
          </w:p>
        </w:tc>
        <w:tc>
          <w:tcPr>
            <w:tcW w:w="5584" w:type="dxa"/>
            <w:shd w:val="clear" w:color="auto" w:fill="auto"/>
            <w:vAlign w:val="center"/>
          </w:tcPr>
          <w:p w14:paraId="11C966A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全自动化学发光检测，提供配套校准品和质控品，要求室间质控有分组或提供相应方案。提供配套设备租赁方案，配套设备需有双向LIS和急诊通道</w:t>
            </w:r>
          </w:p>
        </w:tc>
        <w:tc>
          <w:tcPr>
            <w:tcW w:w="1114" w:type="dxa"/>
            <w:shd w:val="clear" w:color="auto" w:fill="auto"/>
            <w:vAlign w:val="center"/>
          </w:tcPr>
          <w:p w14:paraId="7BFBF54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两院区</w:t>
            </w:r>
          </w:p>
        </w:tc>
      </w:tr>
      <w:tr w14:paraId="1EFD2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87" w:type="dxa"/>
            <w:shd w:val="clear" w:color="auto" w:fill="auto"/>
            <w:vAlign w:val="center"/>
          </w:tcPr>
          <w:p w14:paraId="6651336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3.5</w:t>
            </w:r>
          </w:p>
        </w:tc>
        <w:tc>
          <w:tcPr>
            <w:tcW w:w="2599" w:type="dxa"/>
            <w:shd w:val="clear" w:color="auto" w:fill="auto"/>
            <w:vAlign w:val="center"/>
          </w:tcPr>
          <w:p w14:paraId="4DF34E7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游离前列腺特异抗原测定试剂盒</w:t>
            </w:r>
          </w:p>
        </w:tc>
        <w:tc>
          <w:tcPr>
            <w:tcW w:w="5584" w:type="dxa"/>
            <w:shd w:val="clear" w:color="auto" w:fill="auto"/>
            <w:vAlign w:val="center"/>
          </w:tcPr>
          <w:p w14:paraId="57F7B64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全自动化学发光检测，提供配套校准品和质控品，要求室间质控有分组或提供相应方案。提供配套设备租赁方案，配套设备需有双向LIS和急诊通道</w:t>
            </w:r>
          </w:p>
        </w:tc>
        <w:tc>
          <w:tcPr>
            <w:tcW w:w="1114" w:type="dxa"/>
            <w:shd w:val="clear" w:color="auto" w:fill="auto"/>
            <w:vAlign w:val="center"/>
          </w:tcPr>
          <w:p w14:paraId="799F5DC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两院区</w:t>
            </w:r>
          </w:p>
        </w:tc>
      </w:tr>
      <w:tr w14:paraId="2D4DC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87" w:type="dxa"/>
            <w:shd w:val="clear" w:color="auto" w:fill="auto"/>
            <w:vAlign w:val="center"/>
          </w:tcPr>
          <w:p w14:paraId="5F63005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6</w:t>
            </w:r>
          </w:p>
        </w:tc>
        <w:tc>
          <w:tcPr>
            <w:tcW w:w="2599" w:type="dxa"/>
            <w:shd w:val="clear" w:color="auto" w:fill="auto"/>
            <w:vAlign w:val="center"/>
          </w:tcPr>
          <w:p w14:paraId="5767FBF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抗磷脂酶A2受体抗体IgG检测试剂盒</w:t>
            </w:r>
          </w:p>
        </w:tc>
        <w:tc>
          <w:tcPr>
            <w:tcW w:w="5584" w:type="dxa"/>
            <w:shd w:val="clear" w:color="auto" w:fill="auto"/>
            <w:vAlign w:val="center"/>
          </w:tcPr>
          <w:p w14:paraId="41F1418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全自动化学发光检测，提供配套校准品和质控品，要求室间质控有分组或提供相应方案。提供配套设备租赁方案，配套设备需有双向LIS和急诊通道</w:t>
            </w:r>
          </w:p>
        </w:tc>
        <w:tc>
          <w:tcPr>
            <w:tcW w:w="1114" w:type="dxa"/>
            <w:shd w:val="clear" w:color="auto" w:fill="auto"/>
            <w:vAlign w:val="center"/>
          </w:tcPr>
          <w:p w14:paraId="0CA78BA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两院区</w:t>
            </w:r>
          </w:p>
        </w:tc>
      </w:tr>
      <w:tr w14:paraId="16D24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87" w:type="dxa"/>
            <w:shd w:val="clear" w:color="auto" w:fill="auto"/>
            <w:vAlign w:val="center"/>
          </w:tcPr>
          <w:p w14:paraId="372C2FF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12</w:t>
            </w:r>
          </w:p>
        </w:tc>
        <w:tc>
          <w:tcPr>
            <w:tcW w:w="2599" w:type="dxa"/>
            <w:shd w:val="clear" w:color="auto" w:fill="auto"/>
            <w:vAlign w:val="center"/>
          </w:tcPr>
          <w:p w14:paraId="5EB8F10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免疫球蛋白</w:t>
            </w:r>
            <w:r>
              <w:rPr>
                <w:rFonts w:ascii="Arial" w:hAnsi="Arial" w:eastAsia="宋体" w:cs="Arial"/>
                <w:i w:val="0"/>
                <w:iCs w:val="0"/>
                <w:color w:val="auto"/>
                <w:kern w:val="0"/>
                <w:sz w:val="20"/>
                <w:szCs w:val="20"/>
                <w:u w:val="none"/>
                <w:lang w:val="en-US" w:eastAsia="zh-CN" w:bidi="ar"/>
              </w:rPr>
              <w:t>E</w:t>
            </w:r>
            <w:r>
              <w:rPr>
                <w:rFonts w:hint="eastAsia" w:ascii="宋体" w:hAnsi="宋体" w:eastAsia="宋体" w:cs="宋体"/>
                <w:i w:val="0"/>
                <w:iCs w:val="0"/>
                <w:color w:val="auto"/>
                <w:kern w:val="0"/>
                <w:sz w:val="20"/>
                <w:szCs w:val="20"/>
                <w:u w:val="none"/>
                <w:lang w:val="en-US" w:eastAsia="zh-CN" w:bidi="ar"/>
              </w:rPr>
              <w:t>检测试剂盒</w:t>
            </w:r>
          </w:p>
        </w:tc>
        <w:tc>
          <w:tcPr>
            <w:tcW w:w="5584" w:type="dxa"/>
            <w:shd w:val="clear" w:color="auto" w:fill="auto"/>
            <w:vAlign w:val="center"/>
          </w:tcPr>
          <w:p w14:paraId="3730B12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全自动化学发光检测，提供配套校准品和质控品，要求室间质控有分组或提供相应方案。提供配套设备租赁方案，配套设备需有双向LIS和急诊通道</w:t>
            </w:r>
          </w:p>
        </w:tc>
        <w:tc>
          <w:tcPr>
            <w:tcW w:w="1114" w:type="dxa"/>
            <w:shd w:val="clear" w:color="auto" w:fill="auto"/>
            <w:vAlign w:val="center"/>
          </w:tcPr>
          <w:p w14:paraId="2E889A2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两院区</w:t>
            </w:r>
          </w:p>
        </w:tc>
      </w:tr>
    </w:tbl>
    <w:p w14:paraId="303210DD">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6</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3</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3</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w:t>
            </w:r>
            <w:bookmarkStart w:id="1" w:name="_GoBack"/>
            <w:r>
              <w:rPr>
                <w:rFonts w:hint="eastAsia"/>
                <w:color w:val="000000"/>
                <w:szCs w:val="21"/>
              </w:rPr>
              <w:t>1</w:t>
            </w:r>
            <w:bookmarkEnd w:id="1"/>
            <w:r>
              <w:rPr>
                <w:rFonts w:hint="eastAsia"/>
                <w:color w:val="000000"/>
                <w:szCs w:val="21"/>
              </w:rPr>
              <w:t>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25815A5"/>
    <w:rsid w:val="0CFA2123"/>
    <w:rsid w:val="1BFB2D7A"/>
    <w:rsid w:val="242C0C5F"/>
    <w:rsid w:val="2C8F15FC"/>
    <w:rsid w:val="2F087BBE"/>
    <w:rsid w:val="328D1787"/>
    <w:rsid w:val="32F028E2"/>
    <w:rsid w:val="3B575546"/>
    <w:rsid w:val="4F751EA3"/>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 w:type="character" w:customStyle="1" w:styleId="33">
    <w:name w:val="font01"/>
    <w:basedOn w:val="12"/>
    <w:uiPriority w:val="0"/>
    <w:rPr>
      <w:rFonts w:hint="eastAsia" w:ascii="宋体" w:hAnsi="宋体" w:eastAsia="宋体" w:cs="宋体"/>
      <w:color w:val="000000"/>
      <w:sz w:val="22"/>
      <w:szCs w:val="22"/>
      <w:u w:val="none"/>
    </w:rPr>
  </w:style>
  <w:style w:type="character" w:customStyle="1" w:styleId="34">
    <w:name w:val="font11"/>
    <w:basedOn w:val="12"/>
    <w:uiPriority w:val="0"/>
    <w:rPr>
      <w:rFonts w:ascii="Arial" w:hAnsi="Arial" w:cs="Arial"/>
      <w:color w:val="000000"/>
      <w:sz w:val="20"/>
      <w:szCs w:val="20"/>
      <w:u w:val="none"/>
    </w:rPr>
  </w:style>
  <w:style w:type="character" w:customStyle="1" w:styleId="35">
    <w:name w:val="font21"/>
    <w:basedOn w:val="12"/>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327</Words>
  <Characters>368</Characters>
  <Lines>44</Lines>
  <Paragraphs>12</Paragraphs>
  <TotalTime>0</TotalTime>
  <ScaleCrop>false</ScaleCrop>
  <LinksUpToDate>false</LinksUpToDate>
  <CharactersWithSpaces>371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DELL</cp:lastModifiedBy>
  <cp:lastPrinted>2020-04-29T05:22:00Z</cp:lastPrinted>
  <dcterms:modified xsi:type="dcterms:W3CDTF">2026-02-23T07:25:51Z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ECDE916A61A048F09DE08785FF1C8B8D_13</vt:lpwstr>
  </property>
  <property fmtid="{D5CDD505-2E9C-101B-9397-08002B2CF9AE}" pid="4" name="KSOTemplateDocerSaveRecord">
    <vt:lpwstr>eyJoZGlkIjoiOWIxZmRlMjllYTcwNDNkOTA1MDBlOTZiYTE5NGIxOGMiLCJ1c2VySWQiOiIxMjUyMjMxNzQwIn0=</vt:lpwstr>
  </property>
</Properties>
</file>