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体外诊断试剂及医用耗材一批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w:t>
      </w:r>
      <w:r>
        <w:rPr>
          <w:rFonts w:hint="eastAsia" w:ascii="黑体" w:hAnsi="黑体" w:eastAsia="黑体"/>
          <w:sz w:val="32"/>
          <w:szCs w:val="32"/>
        </w:rPr>
        <w:t>CZB</w:t>
      </w:r>
      <w:r>
        <w:rPr>
          <w:rFonts w:hint="eastAsia" w:ascii="黑体" w:hAnsi="黑体" w:eastAsia="黑体"/>
          <w:sz w:val="32"/>
          <w:szCs w:val="32"/>
        </w:rPr>
        <w:t>-202600</w:t>
      </w:r>
      <w:r>
        <w:rPr>
          <w:rFonts w:hint="eastAsia" w:ascii="黑体" w:hAnsi="黑体" w:eastAsia="黑体"/>
          <w:sz w:val="32"/>
          <w:szCs w:val="32"/>
          <w:lang w:val="en-US" w:eastAsia="zh-CN"/>
        </w:rPr>
        <w:t>3</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3</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w:t>
      </w:r>
      <w:r>
        <w:rPr>
          <w:rFonts w:hint="eastAsia" w:ascii="宋体" w:hAnsi="宋体"/>
          <w:color w:val="000000" w:themeColor="text1"/>
          <w:sz w:val="24"/>
          <w:u w:val="single"/>
          <w:lang w:val="en-US" w:eastAsia="zh-CN"/>
          <w14:textFill>
            <w14:solidFill>
              <w14:schemeClr w14:val="tx1"/>
            </w14:solidFill>
          </w14:textFill>
        </w:rPr>
        <w:t>3</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724"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2610"/>
        <w:gridCol w:w="6475"/>
      </w:tblGrid>
      <w:tr w14:paraId="2901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rPr>
              <w:t>标项号</w:t>
            </w:r>
          </w:p>
        </w:tc>
        <w:tc>
          <w:tcPr>
            <w:tcW w:w="2610" w:type="dxa"/>
            <w:shd w:val="clear" w:color="auto" w:fill="auto"/>
            <w:vAlign w:val="center"/>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产品</w:t>
            </w:r>
            <w:r>
              <w:rPr>
                <w:rFonts w:hint="eastAsia" w:cs="宋体" w:asciiTheme="minorEastAsia" w:hAnsiTheme="minorEastAsia" w:eastAsiaTheme="minorEastAsia"/>
                <w:color w:val="666666"/>
                <w:kern w:val="0"/>
                <w:szCs w:val="21"/>
                <w:shd w:val="clear" w:color="auto" w:fill="FFFFFF"/>
                <w:lang w:val="en-US" w:eastAsia="zh-CN"/>
              </w:rPr>
              <w:t>类别</w:t>
            </w:r>
          </w:p>
        </w:tc>
        <w:tc>
          <w:tcPr>
            <w:tcW w:w="6475" w:type="dxa"/>
            <w:shd w:val="clear" w:color="auto" w:fill="auto"/>
            <w:vAlign w:val="center"/>
          </w:tcPr>
          <w:p w14:paraId="0DEFA562">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产品描述（主要功能）</w:t>
            </w:r>
          </w:p>
        </w:tc>
      </w:tr>
      <w:tr w14:paraId="5160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6637B768">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1</w:t>
            </w:r>
          </w:p>
        </w:tc>
        <w:tc>
          <w:tcPr>
            <w:tcW w:w="2610" w:type="dxa"/>
            <w:shd w:val="clear" w:color="auto" w:fill="auto"/>
            <w:vAlign w:val="center"/>
          </w:tcPr>
          <w:p w14:paraId="21269D29">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一次性使用普通引流袋</w:t>
            </w:r>
          </w:p>
        </w:tc>
        <w:tc>
          <w:tcPr>
            <w:tcW w:w="6475" w:type="dxa"/>
            <w:shd w:val="clear" w:color="auto" w:fill="auto"/>
            <w:vAlign w:val="center"/>
          </w:tcPr>
          <w:p w14:paraId="0124776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与引流导管配合，用于患者一次性引流体液（血液、胃液等）、分泌物（痰液、冲洗液等）以及人体排泄物的收集。包含螺纹接口、普通接口。</w:t>
            </w:r>
          </w:p>
        </w:tc>
      </w:tr>
      <w:tr w14:paraId="4CE0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6A700D3E">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2</w:t>
            </w:r>
          </w:p>
        </w:tc>
        <w:tc>
          <w:tcPr>
            <w:tcW w:w="2610" w:type="dxa"/>
            <w:shd w:val="clear" w:color="auto" w:fill="auto"/>
            <w:vAlign w:val="center"/>
          </w:tcPr>
          <w:p w14:paraId="6C6D24B7">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一次性使用防逆流型引流袋</w:t>
            </w:r>
          </w:p>
        </w:tc>
        <w:tc>
          <w:tcPr>
            <w:tcW w:w="6475" w:type="dxa"/>
            <w:shd w:val="clear" w:color="auto" w:fill="auto"/>
            <w:vAlign w:val="center"/>
          </w:tcPr>
          <w:p w14:paraId="31C0E13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与引流导管配合，用于患者一次性引流体液（血液、胃液等）、分泌物（痰液、冲洗液等）以及人体排泄物的收集。</w:t>
            </w:r>
          </w:p>
        </w:tc>
      </w:tr>
      <w:tr w14:paraId="15B8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4E468296">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3</w:t>
            </w:r>
          </w:p>
        </w:tc>
        <w:tc>
          <w:tcPr>
            <w:tcW w:w="2610" w:type="dxa"/>
            <w:shd w:val="clear" w:color="auto" w:fill="auto"/>
            <w:vAlign w:val="center"/>
          </w:tcPr>
          <w:p w14:paraId="39A64975">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一次性使用吸引连接管</w:t>
            </w:r>
          </w:p>
        </w:tc>
        <w:tc>
          <w:tcPr>
            <w:tcW w:w="6475" w:type="dxa"/>
            <w:shd w:val="clear" w:color="auto" w:fill="auto"/>
            <w:vAlign w:val="center"/>
          </w:tcPr>
          <w:p w14:paraId="5D234AA5">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由导管和接头组成，配合医院各类吸引器吸引用，可提供多种规格：F28，带盖，包括多种接头类型；F30，长度不少于1.7m，由连接管及吸引头组成。</w:t>
            </w:r>
          </w:p>
        </w:tc>
      </w:tr>
      <w:tr w14:paraId="03DD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0F7A7EEF">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4</w:t>
            </w:r>
          </w:p>
        </w:tc>
        <w:tc>
          <w:tcPr>
            <w:tcW w:w="2610" w:type="dxa"/>
            <w:shd w:val="clear" w:color="auto" w:fill="auto"/>
            <w:vAlign w:val="center"/>
          </w:tcPr>
          <w:p w14:paraId="788649BD">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一次性使用负压引流器</w:t>
            </w:r>
          </w:p>
        </w:tc>
        <w:tc>
          <w:tcPr>
            <w:tcW w:w="6475" w:type="dxa"/>
            <w:shd w:val="clear" w:color="auto" w:fill="auto"/>
            <w:vAlign w:val="center"/>
          </w:tcPr>
          <w:p w14:paraId="7303C5B3">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用于临床负压引流时，与引流导管相连接，起到充当负压传导介质和/或引导、收集引流液的作用。由袋体、弹簧、导管、接头等组成，容量1000ml左右。</w:t>
            </w:r>
          </w:p>
        </w:tc>
      </w:tr>
      <w:tr w14:paraId="1289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52307041">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5.1</w:t>
            </w:r>
          </w:p>
        </w:tc>
        <w:tc>
          <w:tcPr>
            <w:tcW w:w="2610" w:type="dxa"/>
            <w:shd w:val="clear" w:color="auto" w:fill="auto"/>
            <w:vAlign w:val="center"/>
          </w:tcPr>
          <w:p w14:paraId="6672E01C">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一次性使用负压引流袋</w:t>
            </w:r>
          </w:p>
        </w:tc>
        <w:tc>
          <w:tcPr>
            <w:tcW w:w="6475" w:type="dxa"/>
            <w:shd w:val="clear" w:color="auto" w:fill="auto"/>
            <w:vAlign w:val="center"/>
          </w:tcPr>
          <w:p w14:paraId="2A9218A3">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由袋体、袋盖和塞头组成，与负压引流瓶配合使用，供临床负压引流，收集贮存废液用。容量3500ml左右。</w:t>
            </w:r>
          </w:p>
        </w:tc>
      </w:tr>
      <w:tr w14:paraId="3004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7A4C6844">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5.2</w:t>
            </w:r>
          </w:p>
        </w:tc>
        <w:tc>
          <w:tcPr>
            <w:tcW w:w="2610" w:type="dxa"/>
            <w:shd w:val="clear" w:color="auto" w:fill="auto"/>
            <w:vAlign w:val="center"/>
          </w:tcPr>
          <w:p w14:paraId="36A6E0CB">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负压引流瓶</w:t>
            </w:r>
          </w:p>
        </w:tc>
        <w:tc>
          <w:tcPr>
            <w:tcW w:w="6475" w:type="dxa"/>
            <w:shd w:val="clear" w:color="auto" w:fill="auto"/>
            <w:vAlign w:val="center"/>
          </w:tcPr>
          <w:p w14:paraId="1AAC02DC">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用于临床负压引流时，与一次性负压吸引袋配合使用，型号包含单体瓶、单体瓶带支架挂式。可重复使用。</w:t>
            </w:r>
          </w:p>
        </w:tc>
      </w:tr>
      <w:tr w14:paraId="0F2A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1616EF38">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6</w:t>
            </w:r>
          </w:p>
        </w:tc>
        <w:tc>
          <w:tcPr>
            <w:tcW w:w="2610" w:type="dxa"/>
            <w:shd w:val="clear" w:color="auto" w:fill="auto"/>
            <w:vAlign w:val="center"/>
          </w:tcPr>
          <w:p w14:paraId="53A08848">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负压引流瓶</w:t>
            </w:r>
          </w:p>
        </w:tc>
        <w:tc>
          <w:tcPr>
            <w:tcW w:w="6475" w:type="dxa"/>
            <w:shd w:val="clear" w:color="auto" w:fill="auto"/>
            <w:vAlign w:val="center"/>
          </w:tcPr>
          <w:p w14:paraId="0338BF07">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用于手术室负压吸引时使用，容量2000ml左右，包含普通型、止溢型。需提供配套台车、负压表。</w:t>
            </w:r>
          </w:p>
        </w:tc>
      </w:tr>
      <w:tr w14:paraId="48D0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22B02D5D">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7</w:t>
            </w:r>
          </w:p>
        </w:tc>
        <w:tc>
          <w:tcPr>
            <w:tcW w:w="2610" w:type="dxa"/>
            <w:shd w:val="clear" w:color="auto" w:fill="auto"/>
            <w:vAlign w:val="center"/>
          </w:tcPr>
          <w:p w14:paraId="60930008">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针电极</w:t>
            </w:r>
          </w:p>
        </w:tc>
        <w:tc>
          <w:tcPr>
            <w:tcW w:w="6475" w:type="dxa"/>
            <w:shd w:val="clear" w:color="auto" w:fill="auto"/>
            <w:vAlign w:val="center"/>
          </w:tcPr>
          <w:p w14:paraId="553496F6">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用于检测针极肌电图的针电极，适用于尼高力Nicolet EDX肌电图机、纽瑞特Neuron-Spectrum-4/EPM肌电图机。由针管、芯线、连接器、手柄、保护套管、记录面组成。</w:t>
            </w:r>
          </w:p>
        </w:tc>
      </w:tr>
      <w:tr w14:paraId="7150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160C17EA">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8</w:t>
            </w:r>
          </w:p>
        </w:tc>
        <w:tc>
          <w:tcPr>
            <w:tcW w:w="2610" w:type="dxa"/>
            <w:shd w:val="clear" w:color="auto" w:fill="auto"/>
            <w:vAlign w:val="center"/>
          </w:tcPr>
          <w:p w14:paraId="3137C459">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一体化等离子射频刀头/针</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（适配施乐辉等离子体手术系统）</w:t>
            </w:r>
          </w:p>
        </w:tc>
        <w:tc>
          <w:tcPr>
            <w:tcW w:w="6475" w:type="dxa"/>
            <w:shd w:val="clear" w:color="auto" w:fill="auto"/>
            <w:vAlign w:val="center"/>
          </w:tcPr>
          <w:p w14:paraId="0115A325">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适用于耳鼻喉科手术中软组织的低温消融、切除和凝固以及血管的止血。</w:t>
            </w:r>
          </w:p>
        </w:tc>
      </w:tr>
      <w:tr w14:paraId="5738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0CED35B2">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9</w:t>
            </w:r>
          </w:p>
        </w:tc>
        <w:tc>
          <w:tcPr>
            <w:tcW w:w="2610" w:type="dxa"/>
            <w:shd w:val="clear" w:color="auto" w:fill="auto"/>
            <w:vAlign w:val="center"/>
          </w:tcPr>
          <w:p w14:paraId="0393B267">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关节镜刨削头</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（适配史赛克关节镜）</w:t>
            </w:r>
          </w:p>
        </w:tc>
        <w:tc>
          <w:tcPr>
            <w:tcW w:w="6475" w:type="dxa"/>
            <w:shd w:val="clear" w:color="auto" w:fill="auto"/>
            <w:vAlign w:val="center"/>
          </w:tcPr>
          <w:p w14:paraId="49E8FA80">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适用于骨科手术中切除组织和骨粘附物。</w:t>
            </w:r>
          </w:p>
        </w:tc>
      </w:tr>
      <w:tr w14:paraId="00B2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48B60DED">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10</w:t>
            </w:r>
          </w:p>
        </w:tc>
        <w:tc>
          <w:tcPr>
            <w:tcW w:w="2610" w:type="dxa"/>
            <w:shd w:val="clear" w:color="auto" w:fill="auto"/>
            <w:vAlign w:val="center"/>
          </w:tcPr>
          <w:p w14:paraId="7890CFB2">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关节镜刨削头</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（适配施乐辉关节镜）</w:t>
            </w:r>
          </w:p>
        </w:tc>
        <w:tc>
          <w:tcPr>
            <w:tcW w:w="6475" w:type="dxa"/>
            <w:shd w:val="clear" w:color="auto" w:fill="auto"/>
            <w:vAlign w:val="center"/>
          </w:tcPr>
          <w:p w14:paraId="02A3958B">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适用于骨科手术中切除组织和骨粘附物。</w:t>
            </w:r>
          </w:p>
        </w:tc>
      </w:tr>
      <w:tr w14:paraId="3D98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0" w:type="auto"/>
            <w:shd w:val="clear" w:color="auto" w:fill="auto"/>
            <w:vAlign w:val="center"/>
          </w:tcPr>
          <w:p w14:paraId="207B591F">
            <w:pPr>
              <w:widowControl/>
              <w:jc w:val="center"/>
              <w:rPr>
                <w:rFonts w:hint="default"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11</w:t>
            </w:r>
          </w:p>
        </w:tc>
        <w:tc>
          <w:tcPr>
            <w:tcW w:w="2610" w:type="dxa"/>
            <w:shd w:val="clear" w:color="auto" w:fill="auto"/>
            <w:vAlign w:val="center"/>
          </w:tcPr>
          <w:p w14:paraId="7C99AF79">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革兰氏阴性菌药敏卡</w:t>
            </w:r>
          </w:p>
        </w:tc>
        <w:tc>
          <w:tcPr>
            <w:tcW w:w="6475" w:type="dxa"/>
            <w:shd w:val="clear" w:color="auto" w:fill="auto"/>
            <w:vAlign w:val="center"/>
          </w:tcPr>
          <w:p w14:paraId="12ED9B8F">
            <w:pPr>
              <w:widowControl/>
              <w:jc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用于检测具有显著临床意义的需氧革兰氏阴性菌对抗菌药物的敏感性。</w:t>
            </w:r>
          </w:p>
        </w:tc>
      </w:tr>
    </w:tbl>
    <w:p w14:paraId="3D5450A9">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年0</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31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6A33580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spacing w:line="360" w:lineRule="auto"/>
        <w:ind w:left="480"/>
        <w:rPr>
          <w:rFonts w:ascii="宋体" w:hAnsi="宋体"/>
          <w:sz w:val="24"/>
        </w:rPr>
      </w:pPr>
      <w:r>
        <w:rPr>
          <w:rFonts w:hint="eastAsia" w:ascii="宋体" w:hAnsi="宋体"/>
          <w:sz w:val="24"/>
          <w:lang w:val="en-US" w:eastAsia="zh-CN"/>
        </w:rPr>
        <w:t>九、样品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983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03C9D98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一次性使用普通引流袋</w:t>
            </w:r>
          </w:p>
        </w:tc>
        <w:tc>
          <w:tcPr>
            <w:tcW w:w="4261" w:type="dxa"/>
            <w:shd w:val="clear" w:color="auto" w:fill="auto"/>
            <w:vAlign w:val="center"/>
          </w:tcPr>
          <w:p w14:paraId="5951C48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需提供样品各一包（不少于10只）</w:t>
            </w:r>
          </w:p>
        </w:tc>
      </w:tr>
      <w:tr w14:paraId="0FD2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43004F7C">
            <w:pPr>
              <w:keepNext w:val="0"/>
              <w:keepLines w:val="0"/>
              <w:widowControl/>
              <w:suppressLineNumbers w:val="0"/>
              <w:jc w:val="left"/>
              <w:textAlignment w:val="center"/>
              <w:rPr>
                <w:rFonts w:hint="eastAsia" w:ascii="宋体" w:hAnsi="宋体"/>
                <w:sz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一次性使用防逆流型引流袋</w:t>
            </w:r>
          </w:p>
        </w:tc>
        <w:tc>
          <w:tcPr>
            <w:tcW w:w="4261" w:type="dxa"/>
            <w:shd w:val="clear" w:color="auto" w:fill="auto"/>
            <w:vAlign w:val="center"/>
          </w:tcPr>
          <w:p w14:paraId="3026A7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需提供样品各一包（不少于10只）</w:t>
            </w:r>
          </w:p>
        </w:tc>
      </w:tr>
      <w:tr w14:paraId="51DE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1EF49B9D">
            <w:pPr>
              <w:keepNext w:val="0"/>
              <w:keepLines w:val="0"/>
              <w:widowControl/>
              <w:suppressLineNumbers w:val="0"/>
              <w:jc w:val="left"/>
              <w:textAlignment w:val="center"/>
              <w:rPr>
                <w:rFonts w:hint="eastAsia" w:ascii="宋体" w:hAnsi="宋体"/>
                <w:sz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一次性使用吸引连接管</w:t>
            </w:r>
          </w:p>
        </w:tc>
        <w:tc>
          <w:tcPr>
            <w:tcW w:w="4261" w:type="dxa"/>
            <w:shd w:val="clear" w:color="auto" w:fill="auto"/>
            <w:vAlign w:val="center"/>
          </w:tcPr>
          <w:p w14:paraId="171A68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需提供样品各一包（不少于10根）</w:t>
            </w:r>
          </w:p>
        </w:tc>
      </w:tr>
      <w:tr w14:paraId="50C5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271941E3">
            <w:pPr>
              <w:keepNext w:val="0"/>
              <w:keepLines w:val="0"/>
              <w:widowControl/>
              <w:suppressLineNumbers w:val="0"/>
              <w:jc w:val="left"/>
              <w:textAlignment w:val="center"/>
              <w:rPr>
                <w:rFonts w:hint="eastAsia" w:ascii="宋体" w:hAnsi="宋体"/>
                <w:sz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一次性使用负压引流器</w:t>
            </w:r>
          </w:p>
        </w:tc>
        <w:tc>
          <w:tcPr>
            <w:tcW w:w="4261" w:type="dxa"/>
            <w:shd w:val="clear" w:color="auto" w:fill="auto"/>
            <w:vAlign w:val="center"/>
          </w:tcPr>
          <w:p w14:paraId="443779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需提供样品各一包（不少于10只）</w:t>
            </w:r>
          </w:p>
        </w:tc>
      </w:tr>
    </w:tbl>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03</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31</w:t>
      </w:r>
      <w:r>
        <w:rPr>
          <w:rFonts w:hint="eastAsia" w:ascii="Calibri" w:hAnsi="Calibri" w:eastAsia="宋体" w:cs="Times New Roman"/>
          <w:kern w:val="0"/>
          <w:sz w:val="24"/>
          <w:szCs w:val="24"/>
          <w:lang w:val="en-US" w:eastAsia="zh-CN" w:bidi="ar-SA"/>
        </w:rPr>
        <w:t>日17:00前</w:t>
      </w:r>
    </w:p>
    <w:p w14:paraId="10167E41">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C3583AF">
      <w:pPr>
        <w:numPr>
          <w:ilvl w:val="0"/>
          <w:numId w:val="0"/>
        </w:numPr>
        <w:spacing w:line="360" w:lineRule="auto"/>
        <w:ind w:leftChars="0"/>
        <w:rPr>
          <w:rFonts w:ascii="宋体" w:hAnsi="宋体" w:cs="宋体"/>
          <w:b/>
          <w:snapToGrid w:val="0"/>
          <w:kern w:val="0"/>
          <w:sz w:val="32"/>
          <w:szCs w:val="20"/>
        </w:rPr>
      </w:pP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sz w:val="24"/>
                <w:lang w:val="en-US"/>
              </w:rPr>
            </w:pPr>
            <w:r>
              <w:rPr>
                <w:rFonts w:hint="eastAsia" w:ascii="Times New Roman" w:hAnsi="Times New Roman"/>
                <w:sz w:val="24"/>
                <w:lang w:val="en-US" w:eastAsia="zh-CN"/>
              </w:rPr>
              <w:t>按照需求提供样品。</w:t>
            </w:r>
            <w:bookmarkStart w:id="1" w:name="_GoBack"/>
            <w:bookmarkEnd w:id="1"/>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67F457A"/>
    <w:rsid w:val="0B991481"/>
    <w:rsid w:val="17823DFB"/>
    <w:rsid w:val="1A4734BC"/>
    <w:rsid w:val="2C8F15FC"/>
    <w:rsid w:val="32F028E2"/>
    <w:rsid w:val="3B575546"/>
    <w:rsid w:val="4F751EA3"/>
    <w:rsid w:val="62EB32A7"/>
    <w:rsid w:val="63362C35"/>
    <w:rsid w:val="63AC7006"/>
    <w:rsid w:val="7A3A6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295</Words>
  <Characters>328</Characters>
  <Lines>44</Lines>
  <Paragraphs>12</Paragraphs>
  <TotalTime>0</TotalTime>
  <ScaleCrop>false</ScaleCrop>
  <LinksUpToDate>false</LinksUpToDate>
  <CharactersWithSpaces>331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2026-03-23T07:52:37Z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