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98A03">
      <w:pPr>
        <w:ind w:right="-110"/>
        <w:jc w:val="left"/>
        <w:rPr>
          <w:rFonts w:ascii="宋体" w:hAnsi="宋体"/>
          <w:spacing w:val="40"/>
          <w:sz w:val="28"/>
          <w:szCs w:val="52"/>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14:paraId="2C88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14:paraId="1B956419">
            <w:pPr>
              <w:pStyle w:val="10"/>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14:paraId="5A58CA83">
            <w:pPr>
              <w:pStyle w:val="10"/>
              <w:spacing w:before="75" w:beforeAutospacing="0" w:after="75" w:afterAutospacing="0"/>
              <w:jc w:val="center"/>
              <w:rPr>
                <w:rFonts w:hint="default" w:cs="Times New Roman"/>
                <w:b/>
                <w:spacing w:val="40"/>
                <w:kern w:val="2"/>
                <w:szCs w:val="52"/>
                <w:lang w:val="en-US"/>
              </w:rPr>
            </w:pPr>
            <w:r>
              <w:rPr>
                <w:rFonts w:hint="eastAsia" w:cs="Times New Roman"/>
                <w:b/>
                <w:spacing w:val="40"/>
                <w:kern w:val="2"/>
                <w:sz w:val="28"/>
                <w:szCs w:val="52"/>
                <w:lang w:val="en-US" w:eastAsia="zh-CN"/>
              </w:rPr>
              <w:t>两院区气体灭火系统改造项目</w:t>
            </w:r>
          </w:p>
        </w:tc>
      </w:tr>
      <w:tr w14:paraId="76B9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14:paraId="24EEFAC1">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14:paraId="5EF55A56">
            <w:pPr>
              <w:ind w:right="-110"/>
              <w:jc w:val="center"/>
              <w:rPr>
                <w:rFonts w:ascii="宋体" w:hAnsi="宋体"/>
                <w:spacing w:val="40"/>
                <w:sz w:val="28"/>
                <w:szCs w:val="52"/>
              </w:rPr>
            </w:pPr>
          </w:p>
        </w:tc>
      </w:tr>
      <w:tr w14:paraId="042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7DADFCC5">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14:paraId="606885C5">
            <w:pPr>
              <w:ind w:right="-110"/>
              <w:jc w:val="center"/>
              <w:rPr>
                <w:rFonts w:ascii="宋体" w:hAnsi="宋体"/>
                <w:spacing w:val="40"/>
                <w:sz w:val="28"/>
                <w:szCs w:val="52"/>
              </w:rPr>
            </w:pPr>
          </w:p>
        </w:tc>
      </w:tr>
      <w:tr w14:paraId="587D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27FA1679">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14:paraId="74D580C8">
            <w:pPr>
              <w:ind w:right="-110"/>
              <w:jc w:val="center"/>
              <w:rPr>
                <w:rFonts w:ascii="宋体" w:hAnsi="宋体"/>
                <w:spacing w:val="40"/>
                <w:sz w:val="28"/>
                <w:szCs w:val="52"/>
              </w:rPr>
            </w:pPr>
          </w:p>
        </w:tc>
      </w:tr>
      <w:tr w14:paraId="133A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14:paraId="17ED7800">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14:paraId="55BAB593">
            <w:pPr>
              <w:ind w:right="-110"/>
              <w:jc w:val="center"/>
              <w:rPr>
                <w:rFonts w:ascii="宋体" w:hAnsi="宋体"/>
                <w:spacing w:val="40"/>
                <w:sz w:val="28"/>
                <w:szCs w:val="52"/>
              </w:rPr>
            </w:pPr>
          </w:p>
        </w:tc>
      </w:tr>
      <w:tr w14:paraId="5B9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14:paraId="78035133">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14:paraId="02809038">
            <w:pPr>
              <w:ind w:right="-110"/>
              <w:jc w:val="center"/>
              <w:rPr>
                <w:rFonts w:ascii="宋体" w:hAnsi="宋体"/>
                <w:spacing w:val="40"/>
                <w:sz w:val="28"/>
                <w:szCs w:val="52"/>
              </w:rPr>
            </w:pPr>
          </w:p>
        </w:tc>
      </w:tr>
      <w:tr w14:paraId="5664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14:paraId="521ED319">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14:paraId="36651C84">
            <w:pPr>
              <w:ind w:right="-110"/>
              <w:jc w:val="center"/>
              <w:rPr>
                <w:rFonts w:ascii="宋体" w:hAnsi="宋体"/>
                <w:spacing w:val="40"/>
                <w:sz w:val="28"/>
                <w:szCs w:val="52"/>
              </w:rPr>
            </w:pPr>
          </w:p>
        </w:tc>
      </w:tr>
    </w:tbl>
    <w:p w14:paraId="188FA931">
      <w:pPr>
        <w:ind w:right="-110"/>
        <w:jc w:val="left"/>
        <w:rPr>
          <w:rFonts w:ascii="宋体" w:hAnsi="宋体"/>
          <w:spacing w:val="40"/>
          <w:szCs w:val="21"/>
        </w:rPr>
      </w:pPr>
      <w:r>
        <w:rPr>
          <w:rFonts w:ascii="宋体" w:hAnsi="宋体"/>
          <w:spacing w:val="40"/>
          <w:szCs w:val="21"/>
        </w:rPr>
        <w:br w:type="page"/>
      </w:r>
    </w:p>
    <w:p w14:paraId="567A8FDC">
      <w:pPr>
        <w:widowControl/>
        <w:jc w:val="left"/>
        <w:rPr>
          <w:rFonts w:ascii="宋体" w:hAnsi="宋体"/>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14:paraId="16D544C3">
      <w:pPr>
        <w:widowControl/>
        <w:jc w:val="left"/>
        <w:rPr>
          <w:rFonts w:hint="eastAsia" w:ascii="宋体" w:hAnsi="宋体"/>
          <w:b/>
          <w:bCs/>
          <w:color w:val="FF0000"/>
          <w:sz w:val="30"/>
          <w:szCs w:val="30"/>
          <w:lang w:val="en-US" w:eastAsia="zh-CN"/>
        </w:rPr>
      </w:pPr>
      <w:r>
        <w:rPr>
          <w:rFonts w:hint="eastAsia" w:ascii="宋体" w:hAnsi="宋体"/>
          <w:b/>
          <w:bCs/>
          <w:color w:val="FF0000"/>
          <w:sz w:val="30"/>
          <w:szCs w:val="30"/>
          <w:lang w:val="en-US" w:eastAsia="zh-CN"/>
        </w:rPr>
        <w:t>需要报价：</w:t>
      </w:r>
    </w:p>
    <w:tbl>
      <w:tblPr>
        <w:tblW w:w="8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410"/>
        <w:gridCol w:w="2835"/>
        <w:gridCol w:w="1511"/>
        <w:gridCol w:w="503"/>
        <w:gridCol w:w="553"/>
        <w:gridCol w:w="655"/>
        <w:gridCol w:w="720"/>
        <w:gridCol w:w="1812"/>
      </w:tblGrid>
      <w:tr w14:paraId="2056B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8999" w:type="dxa"/>
            <w:gridSpan w:val="8"/>
            <w:tcBorders>
              <w:top w:val="single" w:color="000000" w:sz="8" w:space="0"/>
              <w:left w:val="single" w:color="000000" w:sz="8" w:space="0"/>
              <w:bottom w:val="single" w:color="000000" w:sz="4" w:space="0"/>
              <w:right w:val="single" w:color="000000" w:sz="4" w:space="0"/>
            </w:tcBorders>
            <w:shd w:val="clear" w:color="auto" w:fill="FFFFFF" w:themeFill="background1"/>
            <w:noWrap/>
            <w:vAlign w:val="center"/>
          </w:tcPr>
          <w:p w14:paraId="13EF88D1">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附件1：气体灭火系统更换为与消控同品牌设备后联网到自动报警主机报价单</w:t>
            </w:r>
          </w:p>
        </w:tc>
      </w:tr>
      <w:tr w14:paraId="5B2C4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4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8056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68F44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名称</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3E7E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品牌/型号</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DC81E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单位</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E631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数量</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216F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单价</w:t>
            </w: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D2E0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总价</w:t>
            </w: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1986A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备注</w:t>
            </w:r>
          </w:p>
        </w:tc>
      </w:tr>
      <w:tr w14:paraId="2B6E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CCBF3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5403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利达气体灭火控制主机</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2C6E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83C49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CB61F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A3FA1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ED36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4886D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安装在消控内</w:t>
            </w:r>
          </w:p>
        </w:tc>
      </w:tr>
      <w:tr w14:paraId="24A0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DA258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6E22B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气体灭火控制器</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7DE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2FBD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C8BCA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C8058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3B3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DA98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安装在气体灭火机房外</w:t>
            </w:r>
          </w:p>
        </w:tc>
      </w:tr>
      <w:tr w14:paraId="50B8E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2FAD7A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62390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三墩院区门诊6F信息科气体灭火主机联网消控报警主机布线</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2BBC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永通中策2*2.5平方4芯电缆</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9AA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E1C95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650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B617D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E5E97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E51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气体主机在现场，拉联网线到消控，接壁挂式报警主机，无法与利达自动报警主机联网</w:t>
            </w:r>
          </w:p>
        </w:tc>
      </w:tr>
      <w:tr w14:paraId="702C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B5AA3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D581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三墩院区门诊6F信息科气体灭火主机联网消控报警主机布管</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CB8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E090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CAECA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650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82A2F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2B4F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B75B4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气体主机在现场，拉联网线到消控，接壁挂式报警主机，无法与利达自动报警主机联网</w:t>
            </w:r>
          </w:p>
        </w:tc>
      </w:tr>
      <w:tr w14:paraId="36DB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C93983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5624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三墩院区门诊6F信息科海湾品牌更改为利达品牌机房内线路改造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02BD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ZC-RVV2*1.5电缆线</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CEA6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2EF49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200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2CD2C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8F13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36B6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海湾品牌于利达品牌布线方式有区别，需机房内重新布线</w:t>
            </w:r>
          </w:p>
        </w:tc>
      </w:tr>
      <w:tr w14:paraId="2E54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2502F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9496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三墩院区门诊6F信息科海湾品牌更改为利达品牌机房内线路改造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8B44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311AF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0B121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200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61190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F04CD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9D4B5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海湾品牌于利达品牌布线方式有区别，需机房内重新布管</w:t>
            </w:r>
          </w:p>
        </w:tc>
      </w:tr>
      <w:tr w14:paraId="2E47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ACA67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46EA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三墩院区门诊6F信息科机房内更改线路辅材</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E5AB5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直接，杯梳，接线盒等</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755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CE97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C92F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435A8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70D24">
            <w:pPr>
              <w:jc w:val="center"/>
              <w:rPr>
                <w:rFonts w:hint="eastAsia" w:ascii="宋体" w:hAnsi="宋体" w:eastAsia="宋体" w:cs="宋体"/>
                <w:i w:val="0"/>
                <w:iCs w:val="0"/>
                <w:color w:val="000000"/>
                <w:sz w:val="12"/>
                <w:szCs w:val="12"/>
                <w:u w:val="none"/>
              </w:rPr>
            </w:pPr>
          </w:p>
        </w:tc>
      </w:tr>
      <w:tr w14:paraId="0525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5F056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EA5EA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三墩院区门诊6F信息科声光</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031C3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LD100EH</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0047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425F6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6</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06C5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58D98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1BCBA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524A2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8F2616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50591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三墩院区门诊6F信息科烟温感</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0C15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LD3000EN</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A0F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9611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24</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BB8B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8B879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A7E1C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12F9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311507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46632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三墩院区门诊6F信息科放气门灯</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67C83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LD11300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D5A1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011E3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3</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1D670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7C9A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1AFA5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78DD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4D7AE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7A894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三墩院区门诊6F信息科输入输出模块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2E473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LD6800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BE635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BA64F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7</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FA17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65A16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5265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7DC62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1B40D4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64F70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三墩院区门诊6F信息科紧急启动按钮</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3B76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LD1200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13DAC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66F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3</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DAC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699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A312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7F6A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EC4C4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7A58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三墩院区门诊6F信息科中继模块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4C920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LD5505EN </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90B9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E6F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CA5E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425C5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AA27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原海湾设备更换为利达品牌</w:t>
            </w:r>
          </w:p>
        </w:tc>
      </w:tr>
      <w:tr w14:paraId="5E9C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B4AC77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51EFC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三墩院区门诊6F信息科主机调试费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F64E87">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9BEB0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D6381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9869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821C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A2AED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系统新做</w:t>
            </w:r>
          </w:p>
        </w:tc>
      </w:tr>
      <w:tr w14:paraId="6972B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E71BF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53CD2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三墩院区门诊6F信息科联网及施工人工费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C650D">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CE62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人</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E2DAD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653A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E700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87CB1">
            <w:pPr>
              <w:jc w:val="center"/>
              <w:rPr>
                <w:rFonts w:hint="eastAsia" w:ascii="宋体" w:hAnsi="宋体" w:eastAsia="宋体" w:cs="宋体"/>
                <w:i w:val="0"/>
                <w:iCs w:val="0"/>
                <w:color w:val="000000"/>
                <w:sz w:val="12"/>
                <w:szCs w:val="12"/>
                <w:u w:val="none"/>
              </w:rPr>
            </w:pPr>
          </w:p>
        </w:tc>
      </w:tr>
      <w:tr w14:paraId="7759E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0B92D4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A305C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利达气体灭火控制主机</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790D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BF53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911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7F797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38B2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94332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安装在消控内</w:t>
            </w:r>
          </w:p>
        </w:tc>
      </w:tr>
      <w:tr w14:paraId="40399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0E59C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C871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气体灭火控制器</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BEAC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A710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23C9E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FF10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66AC9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9F1F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安装在气体灭火机房外</w:t>
            </w:r>
          </w:p>
        </w:tc>
      </w:tr>
      <w:tr w14:paraId="71C1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612D21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F241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三墩院区住院部负一高配室气体灭火主机联网消控报警主机布线</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B8AC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永通中策2*2.5平方4芯电缆</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638B1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8B77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550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3689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BCF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7229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气体主机在现场，拉联网线到消控，接壁挂式报警主机，无法与利达自动报警主机联网</w:t>
            </w:r>
          </w:p>
        </w:tc>
      </w:tr>
      <w:tr w14:paraId="46E2F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5A0D7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89722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三墩院区住院部负一高配室联网消控室报警主机布管</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AA0E2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4888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0BF9C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550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D10E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6FDB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BCCBC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气体主机在现场，布管到消控，接壁挂式报警主机，无法与利达自动报警主机联网</w:t>
            </w:r>
          </w:p>
        </w:tc>
      </w:tr>
      <w:tr w14:paraId="7823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E630DB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953FC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三墩院区住院部负一高配室尼特更改为利达品牌机房内线路改造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EC944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ZC-RVV2*1.5电缆线</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18DF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61AE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450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42B0F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F454F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44982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尼特品牌于利达品牌布线方式有区别，需机房内重新布线</w:t>
            </w:r>
          </w:p>
        </w:tc>
      </w:tr>
      <w:tr w14:paraId="3759D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E970F3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2252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三墩院区门诊6F信息科海湾品牌更改为利达品牌机房内线路改造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2EC4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378F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FD80B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450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11D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99F2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6EF2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尼特品牌于利达品牌布线方式有区别，需机房内重新布管</w:t>
            </w:r>
          </w:p>
        </w:tc>
      </w:tr>
      <w:tr w14:paraId="10A2D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CD790D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F476A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三墩院区门诊6F信息科机房内更改线路辅材</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6E8A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直接，杯梳，接线盒等</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A99F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AE3A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181E4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7DF8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C44B6">
            <w:pPr>
              <w:jc w:val="center"/>
              <w:rPr>
                <w:rFonts w:hint="eastAsia" w:ascii="宋体" w:hAnsi="宋体" w:eastAsia="宋体" w:cs="宋体"/>
                <w:i w:val="0"/>
                <w:iCs w:val="0"/>
                <w:color w:val="000000"/>
                <w:sz w:val="12"/>
                <w:szCs w:val="12"/>
                <w:u w:val="none"/>
              </w:rPr>
            </w:pPr>
          </w:p>
        </w:tc>
      </w:tr>
      <w:tr w14:paraId="2642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E85C46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BFEAC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三墩院区住院部负一高配室声光</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8CCC5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LD100EH</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9CAE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F09DB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16DE5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ADEEE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4AA31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43D5F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BF9B0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79FD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三墩院区住院部负一高配室烟温感</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4E712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LD3000EN</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46A91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0006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55</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B76A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1BB80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C4CFF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4F7DE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B18EA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2B38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三墩院区住院部负一高配室放气门灯</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558EA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LD11300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CD8F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90DAB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4F87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69F6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CDD91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3970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54EB1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A3491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三墩院区住院部负一高配室输入输出模块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748B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LD6800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84949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CD9F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286F5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B9216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0588A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26F6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F199B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DFCB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三墩院区住院部负一高配室紧急启动按钮</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97209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LD1200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0948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58F93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CF02F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2EAB6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1DB4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7AC6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87B817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2506C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三墩院区住院部负一高配室中继模块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E27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LD5505EN </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5C8CA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F644E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0F93F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7B5A9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6BD93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原设备品牌为尼特，更换为利达</w:t>
            </w:r>
          </w:p>
        </w:tc>
      </w:tr>
      <w:tr w14:paraId="179F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7986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432A2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三墩院区门诊6F信息科主机调试费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4E09A3">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52BBB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84F2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1208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21742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04B73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系统新做</w:t>
            </w:r>
          </w:p>
        </w:tc>
      </w:tr>
      <w:tr w14:paraId="4ECA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28024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D8BCE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三墩院区住院部联网及施工人工费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4666E6">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6F7C2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人</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C2B80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1E824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59EA6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AD6AFB">
            <w:pPr>
              <w:jc w:val="center"/>
              <w:rPr>
                <w:rFonts w:hint="eastAsia" w:ascii="宋体" w:hAnsi="宋体" w:eastAsia="宋体" w:cs="宋体"/>
                <w:i w:val="0"/>
                <w:iCs w:val="0"/>
                <w:color w:val="000000"/>
                <w:sz w:val="12"/>
                <w:szCs w:val="12"/>
                <w:u w:val="none"/>
              </w:rPr>
            </w:pPr>
          </w:p>
        </w:tc>
      </w:tr>
      <w:tr w14:paraId="5013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41F0B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CB1A3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4号楼负一层气体灭火主机重新系统调试及中文地址核对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FCD8EA">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B8B9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83B53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E4AC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C66B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12D4C3">
            <w:pPr>
              <w:jc w:val="center"/>
              <w:rPr>
                <w:rFonts w:hint="eastAsia" w:ascii="宋体" w:hAnsi="宋体" w:eastAsia="宋体" w:cs="宋体"/>
                <w:i w:val="0"/>
                <w:iCs w:val="0"/>
                <w:color w:val="000000"/>
                <w:sz w:val="12"/>
                <w:szCs w:val="12"/>
                <w:u w:val="none"/>
              </w:rPr>
            </w:pPr>
          </w:p>
        </w:tc>
      </w:tr>
      <w:tr w14:paraId="144E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2AC39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F291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利达气体灭火控制主机</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D7790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66C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EDE0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099E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8E9F3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D716D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安装在消控内</w:t>
            </w:r>
          </w:p>
        </w:tc>
      </w:tr>
      <w:tr w14:paraId="4A60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15AC6A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7F6E1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气体灭火控制器</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202F4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利达</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CD184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台</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EB750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4EC4C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0063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FD3EE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安装在气体灭火机房外</w:t>
            </w:r>
          </w:p>
        </w:tc>
      </w:tr>
      <w:tr w14:paraId="31E9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31CBCE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CC0EB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灵隐院区气体主机联网消控室报警主机布线</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CF010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永通中策4芯电缆</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0B9C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556A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800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B903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8BDFF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526EA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气体主机在现场，拉联网线到消控，接壁挂式报警主机，无法与利达自动报警主机联网</w:t>
            </w:r>
          </w:p>
        </w:tc>
      </w:tr>
      <w:tr w14:paraId="0DA5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5054A6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01EB3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灵隐院区气体主机联网消控室报警主机布管</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B7FD2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F6E77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72B14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800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367E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6CEE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C654E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气体主机在现场，布管到消控，接壁挂式报警主机，无法与利达自动报警主机联网</w:t>
            </w:r>
          </w:p>
        </w:tc>
      </w:tr>
      <w:tr w14:paraId="3F87E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F20BF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EF39B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灵隐院区气体主机为泰和安品牌更改为松江品牌，机房内线路改造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371EA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ZC-RVV2*1.5电缆线</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83BF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A123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200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833F8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803E9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F642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原4台主机是利达的，不需要更换主机，只需要把4台主机联网到消控室报警主机内</w:t>
            </w:r>
          </w:p>
        </w:tc>
      </w:tr>
      <w:tr w14:paraId="7759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FAC4BF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60B66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灵隐院区气体主机为泰和安品牌更改为松江品牌，机房内线路改造</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6743E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JDGφ2.0</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D5A56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米</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8C4E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200</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66ED7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3978B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C1089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泰和安品牌与松江品牌布线方式有区别，需机房内重新布管</w:t>
            </w:r>
          </w:p>
        </w:tc>
      </w:tr>
      <w:tr w14:paraId="0D311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B0A1E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9C93C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烟温感</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9C09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JTY-GD-9002A</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E04E0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588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9</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F10FA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E9AFE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8A36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74300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E2879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048E5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声光</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4DC4B4">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F9204</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C5540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82FFC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9D617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D581E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5D3D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183D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D97668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08C9E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放气误入灯</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D6F4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HJ-9509</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39FA9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607FB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75835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F4889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6F59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13EA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C7D14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03BE0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现场启停按钮</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869C8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HJ-9707</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9C475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32C8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60CD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539B0">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6D1CD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0608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20F0D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F2794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手自动控制盘</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E7E06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HJ-9708</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11635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EF003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7E629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42FE4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F640B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382D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8F013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3CB46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输入模块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8A396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HJ-9502X</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4DBDF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12D671">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4</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68312D">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D3BAD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74D0A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01C7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0A65F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1BDB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输入输出模块</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40603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HJ-9501X</w:t>
            </w: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3AA0D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个</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0E115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2</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C9D9C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4939C6">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578AA">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原设备品牌为泰和安，更换为松江</w:t>
            </w:r>
          </w:p>
        </w:tc>
      </w:tr>
      <w:tr w14:paraId="5AFC6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EB47338">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4110F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灵隐院区气体灭火系统主机调试费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E45B7D">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F8EC9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项</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E8D75">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 xml:space="preserve">1 </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936C9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895E5C">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7E5ED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系统新做</w:t>
            </w:r>
          </w:p>
        </w:tc>
      </w:tr>
      <w:tr w14:paraId="2815E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A59928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15</w:t>
            </w:r>
          </w:p>
        </w:tc>
        <w:tc>
          <w:tcPr>
            <w:tcW w:w="28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D3F202">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灵隐院区气体联网到消控及施工人工费</w:t>
            </w:r>
          </w:p>
        </w:tc>
        <w:tc>
          <w:tcPr>
            <w:tcW w:w="15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0CC607">
            <w:pPr>
              <w:jc w:val="center"/>
              <w:rPr>
                <w:rFonts w:hint="eastAsia" w:ascii="宋体" w:hAnsi="宋体" w:eastAsia="宋体" w:cs="宋体"/>
                <w:i w:val="0"/>
                <w:iCs w:val="0"/>
                <w:color w:val="000000"/>
                <w:sz w:val="12"/>
                <w:szCs w:val="12"/>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23CC77">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人</w:t>
            </w:r>
          </w:p>
        </w:tc>
        <w:tc>
          <w:tcPr>
            <w:tcW w:w="55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D787F">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bdr w:val="none" w:color="auto" w:sz="0" w:space="0"/>
                <w:lang w:val="en-US" w:eastAsia="zh-CN" w:bidi="ar"/>
              </w:rPr>
              <w:t>18</w:t>
            </w:r>
          </w:p>
        </w:tc>
        <w:tc>
          <w:tcPr>
            <w:tcW w:w="6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5D2213">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91BEB">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D565F6">
            <w:pPr>
              <w:jc w:val="center"/>
              <w:rPr>
                <w:rFonts w:hint="eastAsia" w:ascii="宋体" w:hAnsi="宋体" w:eastAsia="宋体" w:cs="宋体"/>
                <w:i w:val="0"/>
                <w:iCs w:val="0"/>
                <w:color w:val="000000"/>
                <w:sz w:val="12"/>
                <w:szCs w:val="12"/>
                <w:u w:val="none"/>
              </w:rPr>
            </w:pPr>
          </w:p>
        </w:tc>
      </w:tr>
    </w:tbl>
    <w:p w14:paraId="00B6E068">
      <w:pPr>
        <w:widowControl/>
        <w:jc w:val="left"/>
        <w:rPr>
          <w:rFonts w:hint="default" w:ascii="宋体" w:hAnsi="宋体"/>
          <w:b/>
          <w:bCs/>
          <w:color w:val="FF0000"/>
          <w:sz w:val="30"/>
          <w:szCs w:val="30"/>
          <w:lang w:val="en-US" w:eastAsia="zh-CN"/>
        </w:rPr>
      </w:pPr>
    </w:p>
    <w:p w14:paraId="2B390BE0">
      <w:pPr>
        <w:widowControl/>
        <w:jc w:val="left"/>
      </w:pPr>
      <w:r>
        <w:rPr>
          <w:rFonts w:hint="eastAsia" w:ascii="仿宋_GB2312" w:hAnsi="仿宋_GB2312" w:cs="仿宋_GB2312"/>
          <w:kern w:val="0"/>
          <w:sz w:val="24"/>
          <w:szCs w:val="24"/>
          <w:lang w:val="en-US" w:eastAsia="zh-CN" w:bidi="ar-SA"/>
        </w:rPr>
        <w:t>两个院区的气体灭火系统进行升级改造，包括更换气体灭火主机、铺设联网电缆、改造机房内线路、更换现场设备（声光、烟温感等）等，实现气体灭火主机与消控室报警主机联网、联动。</w:t>
      </w:r>
      <w:bookmarkStart w:id="0" w:name="_GoBack"/>
      <w:bookmarkEnd w:id="0"/>
      <w:r>
        <w:br w:type="page"/>
      </w:r>
    </w:p>
    <w:p w14:paraId="70C546EE">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14:paraId="499A171E">
      <w:pPr>
        <w:widowControl/>
        <w:jc w:val="left"/>
        <w:rPr>
          <w:b/>
          <w:sz w:val="28"/>
          <w:szCs w:val="28"/>
        </w:rPr>
      </w:pPr>
    </w:p>
    <w:p w14:paraId="7C5C9043">
      <w:pPr>
        <w:widowControl/>
        <w:jc w:val="left"/>
        <w:rPr>
          <w:b/>
          <w:sz w:val="28"/>
          <w:szCs w:val="28"/>
        </w:rPr>
      </w:pPr>
    </w:p>
    <w:p w14:paraId="5B8F2E09">
      <w:pPr>
        <w:widowControl/>
        <w:jc w:val="left"/>
        <w:rPr>
          <w:b/>
          <w:sz w:val="28"/>
          <w:szCs w:val="28"/>
        </w:rPr>
      </w:pPr>
      <w:r>
        <w:rPr>
          <w:b/>
          <w:sz w:val="28"/>
          <w:szCs w:val="28"/>
        </w:rPr>
        <w:br w:type="page"/>
      </w:r>
    </w:p>
    <w:p w14:paraId="1C182DAA">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14:paraId="3BC4CDF2">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14:paraId="051A525C">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14:paraId="27D5BC9D">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14:paraId="01B0F124">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14:paraId="59C3042F">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14:paraId="4975421E">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14:paraId="782D1D2B">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14:paraId="51EC516C">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14:paraId="1D68979D">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14:paraId="780156F5">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14:paraId="73087CEA">
      <w:pPr>
        <w:snapToGrid w:val="0"/>
        <w:spacing w:line="360" w:lineRule="auto"/>
        <w:ind w:firstLine="480" w:firstLineChars="200"/>
        <w:rPr>
          <w:rFonts w:ascii="宋体" w:hAnsi="宋体" w:cs="宋体"/>
          <w:i/>
          <w:kern w:val="0"/>
          <w:sz w:val="24"/>
        </w:rPr>
      </w:pPr>
    </w:p>
    <w:p w14:paraId="262B097E">
      <w:pPr>
        <w:snapToGrid w:val="0"/>
        <w:spacing w:line="360" w:lineRule="auto"/>
        <w:ind w:firstLine="480" w:firstLineChars="200"/>
        <w:rPr>
          <w:rFonts w:ascii="宋体" w:hAnsi="宋体" w:cs="宋体"/>
          <w:i/>
          <w:kern w:val="0"/>
          <w:sz w:val="24"/>
        </w:rPr>
      </w:pPr>
    </w:p>
    <w:p w14:paraId="575765ED">
      <w:pPr>
        <w:snapToGrid w:val="0"/>
        <w:spacing w:line="360" w:lineRule="auto"/>
        <w:ind w:firstLine="480" w:firstLineChars="200"/>
        <w:rPr>
          <w:rFonts w:ascii="宋体" w:hAnsi="宋体" w:cs="宋体"/>
          <w:kern w:val="0"/>
          <w:sz w:val="24"/>
        </w:rPr>
      </w:pPr>
    </w:p>
    <w:p w14:paraId="4471E72F">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14:paraId="1B7A00A9">
      <w:pPr>
        <w:spacing w:line="360" w:lineRule="auto"/>
        <w:rPr>
          <w:rFonts w:ascii="宋体" w:hAnsi="宋体"/>
          <w:sz w:val="24"/>
        </w:rPr>
      </w:pPr>
    </w:p>
    <w:p w14:paraId="4D9D2C2D">
      <w:pPr>
        <w:spacing w:line="360" w:lineRule="auto"/>
        <w:rPr>
          <w:rFonts w:ascii="宋体" w:hAnsi="宋体"/>
          <w:sz w:val="24"/>
        </w:rPr>
      </w:pPr>
    </w:p>
    <w:p w14:paraId="5ED55348">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14:paraId="0D297F5A">
      <w:pPr>
        <w:widowControl/>
        <w:spacing w:line="360" w:lineRule="auto"/>
        <w:jc w:val="left"/>
        <w:rPr>
          <w:rFonts w:ascii="宋体" w:hAnsi="宋体"/>
          <w:sz w:val="24"/>
        </w:rPr>
      </w:pPr>
    </w:p>
    <w:p w14:paraId="6B0D4A90">
      <w:pPr>
        <w:widowControl/>
        <w:spacing w:line="360" w:lineRule="auto"/>
        <w:jc w:val="left"/>
        <w:rPr>
          <w:rFonts w:ascii="宋体" w:hAnsi="宋体"/>
          <w:sz w:val="24"/>
        </w:rPr>
      </w:pPr>
    </w:p>
    <w:p w14:paraId="537EAA91">
      <w:pPr>
        <w:widowControl/>
        <w:spacing w:line="360" w:lineRule="auto"/>
        <w:jc w:val="left"/>
        <w:rPr>
          <w:rFonts w:ascii="宋体" w:hAnsi="宋体" w:cs="Arial"/>
          <w:kern w:val="0"/>
          <w:sz w:val="24"/>
        </w:rPr>
      </w:pPr>
      <w:r>
        <w:rPr>
          <w:rFonts w:ascii="宋体" w:hAnsi="宋体"/>
          <w:sz w:val="24"/>
        </w:rPr>
        <w:t>年    月    日</w:t>
      </w:r>
    </w:p>
    <w:p w14:paraId="3761DC87">
      <w:pPr>
        <w:snapToGrid w:val="0"/>
        <w:spacing w:before="120" w:beforeLines="50" w:after="50"/>
        <w:rPr>
          <w:rFonts w:ascii="宋体" w:hAnsi="宋体"/>
          <w:b/>
          <w:sz w:val="30"/>
          <w:szCs w:val="30"/>
        </w:rPr>
      </w:pPr>
      <w:r>
        <w:rPr>
          <w:rFonts w:ascii="宋体" w:hAnsi="宋体"/>
          <w:sz w:val="28"/>
          <w:szCs w:val="28"/>
        </w:rPr>
        <w:br w:type="page"/>
      </w:r>
    </w:p>
    <w:p w14:paraId="171C1E39">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14:paraId="60F0E81B">
      <w:pPr>
        <w:widowControl/>
        <w:jc w:val="left"/>
        <w:rPr>
          <w:rFonts w:ascii="宋体" w:hAnsi="宋体"/>
          <w:color w:val="000000"/>
          <w:sz w:val="28"/>
          <w:szCs w:val="28"/>
        </w:rPr>
      </w:pPr>
      <w:r>
        <w:rPr>
          <w:rFonts w:ascii="宋体" w:hAnsi="宋体"/>
          <w:color w:val="000000"/>
          <w:sz w:val="28"/>
          <w:szCs w:val="28"/>
        </w:rPr>
        <w:br w:type="page"/>
      </w:r>
    </w:p>
    <w:p w14:paraId="0981CCC5">
      <w:pPr>
        <w:spacing w:line="300" w:lineRule="auto"/>
        <w:rPr>
          <w:rFonts w:ascii="宋体" w:hAnsi="宋体"/>
          <w:color w:val="000000"/>
          <w:sz w:val="28"/>
          <w:szCs w:val="28"/>
        </w:rPr>
      </w:pPr>
      <w:r>
        <w:rPr>
          <w:rFonts w:hint="eastAsia" w:ascii="宋体" w:hAnsi="宋体"/>
          <w:color w:val="000000"/>
          <w:sz w:val="28"/>
          <w:szCs w:val="28"/>
        </w:rPr>
        <w:t>此页提供经营许可证</w:t>
      </w:r>
    </w:p>
    <w:p w14:paraId="121773FF">
      <w:pPr>
        <w:widowControl/>
        <w:jc w:val="left"/>
        <w:rPr>
          <w:rFonts w:ascii="宋体" w:hAnsi="宋体"/>
          <w:color w:val="000000"/>
          <w:sz w:val="28"/>
          <w:szCs w:val="28"/>
        </w:rPr>
      </w:pPr>
      <w:r>
        <w:rPr>
          <w:rFonts w:ascii="宋体" w:hAnsi="宋体"/>
          <w:color w:val="000000"/>
          <w:sz w:val="28"/>
          <w:szCs w:val="28"/>
        </w:rPr>
        <w:br w:type="page"/>
      </w:r>
    </w:p>
    <w:p w14:paraId="5C36CEBF">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3109"/>
        <w:gridCol w:w="3022"/>
        <w:gridCol w:w="2574"/>
      </w:tblGrid>
      <w:tr w14:paraId="13E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14:paraId="7DBA9669">
            <w:pPr>
              <w:ind w:right="-110"/>
              <w:jc w:val="center"/>
              <w:rPr>
                <w:rFonts w:ascii="宋体" w:hAnsi="宋体"/>
                <w:spacing w:val="40"/>
                <w:sz w:val="28"/>
                <w:szCs w:val="52"/>
              </w:rPr>
            </w:pPr>
            <w:r>
              <w:rPr>
                <w:rFonts w:ascii="宋体" w:hAnsi="宋体"/>
                <w:spacing w:val="40"/>
                <w:sz w:val="28"/>
                <w:szCs w:val="52"/>
              </w:rPr>
              <w:t>近三年浙江省内类似业绩</w:t>
            </w:r>
            <w:r>
              <w:rPr>
                <w:rFonts w:hint="eastAsia" w:ascii="宋体" w:hAnsi="宋体"/>
                <w:spacing w:val="40"/>
                <w:sz w:val="28"/>
                <w:szCs w:val="52"/>
              </w:rPr>
              <w:t>（至少5例）</w:t>
            </w:r>
          </w:p>
        </w:tc>
        <w:tc>
          <w:tcPr>
            <w:tcW w:w="3208" w:type="dxa"/>
            <w:vAlign w:val="center"/>
          </w:tcPr>
          <w:p w14:paraId="36BC5032">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14:paraId="5541E7A4">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14:paraId="69F5F21B">
            <w:pPr>
              <w:ind w:right="-110"/>
              <w:jc w:val="center"/>
              <w:rPr>
                <w:rFonts w:ascii="宋体" w:hAnsi="宋体"/>
                <w:spacing w:val="40"/>
                <w:sz w:val="28"/>
                <w:szCs w:val="52"/>
              </w:rPr>
            </w:pPr>
            <w:r>
              <w:rPr>
                <w:rFonts w:ascii="宋体" w:hAnsi="宋体"/>
                <w:spacing w:val="40"/>
                <w:sz w:val="28"/>
                <w:szCs w:val="52"/>
              </w:rPr>
              <w:t>采购日期</w:t>
            </w:r>
          </w:p>
        </w:tc>
      </w:tr>
      <w:tr w14:paraId="6ACA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6AD242A">
            <w:pPr>
              <w:ind w:right="-110"/>
              <w:jc w:val="center"/>
              <w:rPr>
                <w:rFonts w:ascii="宋体" w:hAnsi="宋体"/>
                <w:spacing w:val="40"/>
                <w:sz w:val="28"/>
                <w:szCs w:val="52"/>
              </w:rPr>
            </w:pPr>
          </w:p>
        </w:tc>
        <w:tc>
          <w:tcPr>
            <w:tcW w:w="3208" w:type="dxa"/>
            <w:vAlign w:val="center"/>
          </w:tcPr>
          <w:p w14:paraId="1D9B44EE">
            <w:pPr>
              <w:ind w:right="-110"/>
              <w:jc w:val="center"/>
              <w:rPr>
                <w:rFonts w:ascii="宋体" w:hAnsi="宋体"/>
                <w:spacing w:val="40"/>
                <w:sz w:val="28"/>
                <w:szCs w:val="52"/>
              </w:rPr>
            </w:pPr>
          </w:p>
        </w:tc>
        <w:tc>
          <w:tcPr>
            <w:tcW w:w="3118" w:type="dxa"/>
            <w:vAlign w:val="center"/>
          </w:tcPr>
          <w:p w14:paraId="0ED19043">
            <w:pPr>
              <w:ind w:right="-110"/>
              <w:jc w:val="center"/>
              <w:rPr>
                <w:rFonts w:ascii="宋体" w:hAnsi="宋体"/>
                <w:spacing w:val="40"/>
                <w:sz w:val="28"/>
                <w:szCs w:val="52"/>
              </w:rPr>
            </w:pPr>
          </w:p>
        </w:tc>
        <w:tc>
          <w:tcPr>
            <w:tcW w:w="2653" w:type="dxa"/>
            <w:vAlign w:val="center"/>
          </w:tcPr>
          <w:p w14:paraId="6142BDFF">
            <w:pPr>
              <w:ind w:right="-110"/>
              <w:jc w:val="center"/>
              <w:rPr>
                <w:rFonts w:ascii="宋体" w:hAnsi="宋体"/>
                <w:spacing w:val="40"/>
                <w:sz w:val="28"/>
                <w:szCs w:val="52"/>
              </w:rPr>
            </w:pPr>
          </w:p>
        </w:tc>
      </w:tr>
      <w:tr w14:paraId="13A1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1BCE2881">
            <w:pPr>
              <w:ind w:right="-110"/>
              <w:jc w:val="center"/>
              <w:rPr>
                <w:rFonts w:ascii="宋体" w:hAnsi="宋体"/>
                <w:spacing w:val="40"/>
                <w:sz w:val="28"/>
                <w:szCs w:val="52"/>
              </w:rPr>
            </w:pPr>
          </w:p>
        </w:tc>
        <w:tc>
          <w:tcPr>
            <w:tcW w:w="3208" w:type="dxa"/>
            <w:vAlign w:val="center"/>
          </w:tcPr>
          <w:p w14:paraId="2F58DCA4">
            <w:pPr>
              <w:ind w:right="-110"/>
              <w:jc w:val="center"/>
              <w:rPr>
                <w:rFonts w:ascii="宋体" w:hAnsi="宋体"/>
                <w:spacing w:val="40"/>
                <w:sz w:val="28"/>
                <w:szCs w:val="52"/>
              </w:rPr>
            </w:pPr>
          </w:p>
        </w:tc>
        <w:tc>
          <w:tcPr>
            <w:tcW w:w="3118" w:type="dxa"/>
            <w:vAlign w:val="center"/>
          </w:tcPr>
          <w:p w14:paraId="42EAB8F3">
            <w:pPr>
              <w:ind w:right="-110"/>
              <w:jc w:val="center"/>
              <w:rPr>
                <w:rFonts w:ascii="宋体" w:hAnsi="宋体"/>
                <w:spacing w:val="40"/>
                <w:sz w:val="28"/>
                <w:szCs w:val="52"/>
              </w:rPr>
            </w:pPr>
          </w:p>
        </w:tc>
        <w:tc>
          <w:tcPr>
            <w:tcW w:w="2653" w:type="dxa"/>
            <w:vAlign w:val="center"/>
          </w:tcPr>
          <w:p w14:paraId="101681BB">
            <w:pPr>
              <w:ind w:right="-110"/>
              <w:jc w:val="center"/>
              <w:rPr>
                <w:rFonts w:ascii="宋体" w:hAnsi="宋体"/>
                <w:spacing w:val="40"/>
                <w:sz w:val="28"/>
                <w:szCs w:val="52"/>
              </w:rPr>
            </w:pPr>
          </w:p>
        </w:tc>
      </w:tr>
      <w:tr w14:paraId="469C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5AE455E5">
            <w:pPr>
              <w:ind w:right="-110"/>
              <w:jc w:val="center"/>
              <w:rPr>
                <w:rFonts w:ascii="宋体" w:hAnsi="宋体"/>
                <w:spacing w:val="40"/>
                <w:sz w:val="28"/>
                <w:szCs w:val="52"/>
              </w:rPr>
            </w:pPr>
          </w:p>
        </w:tc>
        <w:tc>
          <w:tcPr>
            <w:tcW w:w="3208" w:type="dxa"/>
            <w:vAlign w:val="center"/>
          </w:tcPr>
          <w:p w14:paraId="094E8583">
            <w:pPr>
              <w:ind w:right="-110"/>
              <w:jc w:val="center"/>
              <w:rPr>
                <w:rFonts w:ascii="宋体" w:hAnsi="宋体"/>
                <w:spacing w:val="40"/>
                <w:sz w:val="28"/>
                <w:szCs w:val="52"/>
              </w:rPr>
            </w:pPr>
          </w:p>
        </w:tc>
        <w:tc>
          <w:tcPr>
            <w:tcW w:w="3118" w:type="dxa"/>
            <w:vAlign w:val="center"/>
          </w:tcPr>
          <w:p w14:paraId="0E77A307">
            <w:pPr>
              <w:ind w:right="-110"/>
              <w:jc w:val="center"/>
              <w:rPr>
                <w:rFonts w:ascii="宋体" w:hAnsi="宋体"/>
                <w:spacing w:val="40"/>
                <w:sz w:val="28"/>
                <w:szCs w:val="52"/>
              </w:rPr>
            </w:pPr>
          </w:p>
        </w:tc>
        <w:tc>
          <w:tcPr>
            <w:tcW w:w="2653" w:type="dxa"/>
            <w:vAlign w:val="center"/>
          </w:tcPr>
          <w:p w14:paraId="54FD430C">
            <w:pPr>
              <w:ind w:right="-110"/>
              <w:jc w:val="center"/>
              <w:rPr>
                <w:rFonts w:ascii="宋体" w:hAnsi="宋体"/>
                <w:spacing w:val="40"/>
                <w:sz w:val="28"/>
                <w:szCs w:val="52"/>
              </w:rPr>
            </w:pPr>
          </w:p>
        </w:tc>
      </w:tr>
      <w:tr w14:paraId="2E0E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28971DE9">
            <w:pPr>
              <w:ind w:right="-110"/>
              <w:jc w:val="center"/>
              <w:rPr>
                <w:rFonts w:ascii="宋体" w:hAnsi="宋体"/>
                <w:spacing w:val="40"/>
                <w:sz w:val="28"/>
                <w:szCs w:val="52"/>
              </w:rPr>
            </w:pPr>
          </w:p>
        </w:tc>
        <w:tc>
          <w:tcPr>
            <w:tcW w:w="3208" w:type="dxa"/>
            <w:vAlign w:val="center"/>
          </w:tcPr>
          <w:p w14:paraId="786CED42">
            <w:pPr>
              <w:ind w:right="-110"/>
              <w:jc w:val="center"/>
              <w:rPr>
                <w:rFonts w:ascii="宋体" w:hAnsi="宋体"/>
                <w:spacing w:val="40"/>
                <w:sz w:val="28"/>
                <w:szCs w:val="52"/>
              </w:rPr>
            </w:pPr>
          </w:p>
        </w:tc>
        <w:tc>
          <w:tcPr>
            <w:tcW w:w="3118" w:type="dxa"/>
            <w:vAlign w:val="center"/>
          </w:tcPr>
          <w:p w14:paraId="6E0A44CD">
            <w:pPr>
              <w:ind w:right="-110"/>
              <w:jc w:val="center"/>
              <w:rPr>
                <w:rFonts w:ascii="宋体" w:hAnsi="宋体"/>
                <w:spacing w:val="40"/>
                <w:sz w:val="28"/>
                <w:szCs w:val="52"/>
              </w:rPr>
            </w:pPr>
          </w:p>
        </w:tc>
        <w:tc>
          <w:tcPr>
            <w:tcW w:w="2653" w:type="dxa"/>
            <w:vAlign w:val="center"/>
          </w:tcPr>
          <w:p w14:paraId="036223EF">
            <w:pPr>
              <w:ind w:right="-110"/>
              <w:jc w:val="center"/>
              <w:rPr>
                <w:rFonts w:ascii="宋体" w:hAnsi="宋体"/>
                <w:spacing w:val="40"/>
                <w:sz w:val="28"/>
                <w:szCs w:val="52"/>
              </w:rPr>
            </w:pPr>
          </w:p>
        </w:tc>
      </w:tr>
      <w:tr w14:paraId="5650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55356D8">
            <w:pPr>
              <w:ind w:right="-110"/>
              <w:jc w:val="center"/>
              <w:rPr>
                <w:rFonts w:ascii="宋体" w:hAnsi="宋体"/>
                <w:spacing w:val="40"/>
                <w:sz w:val="28"/>
                <w:szCs w:val="52"/>
              </w:rPr>
            </w:pPr>
          </w:p>
        </w:tc>
        <w:tc>
          <w:tcPr>
            <w:tcW w:w="3208" w:type="dxa"/>
            <w:vAlign w:val="center"/>
          </w:tcPr>
          <w:p w14:paraId="47EB510B">
            <w:pPr>
              <w:ind w:right="-110"/>
              <w:jc w:val="center"/>
              <w:rPr>
                <w:rFonts w:ascii="宋体" w:hAnsi="宋体"/>
                <w:spacing w:val="40"/>
                <w:sz w:val="28"/>
                <w:szCs w:val="52"/>
              </w:rPr>
            </w:pPr>
          </w:p>
        </w:tc>
        <w:tc>
          <w:tcPr>
            <w:tcW w:w="3118" w:type="dxa"/>
            <w:vAlign w:val="center"/>
          </w:tcPr>
          <w:p w14:paraId="5E597010">
            <w:pPr>
              <w:ind w:right="-110"/>
              <w:jc w:val="center"/>
              <w:rPr>
                <w:rFonts w:ascii="宋体" w:hAnsi="宋体"/>
                <w:spacing w:val="40"/>
                <w:sz w:val="28"/>
                <w:szCs w:val="52"/>
              </w:rPr>
            </w:pPr>
          </w:p>
        </w:tc>
        <w:tc>
          <w:tcPr>
            <w:tcW w:w="2653" w:type="dxa"/>
            <w:vAlign w:val="center"/>
          </w:tcPr>
          <w:p w14:paraId="15A06977">
            <w:pPr>
              <w:ind w:right="-110"/>
              <w:jc w:val="center"/>
              <w:rPr>
                <w:rFonts w:ascii="宋体" w:hAnsi="宋体"/>
                <w:spacing w:val="40"/>
                <w:sz w:val="28"/>
                <w:szCs w:val="52"/>
              </w:rPr>
            </w:pPr>
          </w:p>
        </w:tc>
      </w:tr>
    </w:tbl>
    <w:p w14:paraId="766C1341">
      <w:pPr>
        <w:widowControl/>
        <w:jc w:val="left"/>
        <w:rPr>
          <w:rFonts w:ascii="宋体" w:hAnsi="宋体"/>
          <w:color w:val="000000"/>
          <w:sz w:val="28"/>
          <w:szCs w:val="28"/>
        </w:rPr>
      </w:pPr>
    </w:p>
    <w:p w14:paraId="25AF4656">
      <w:pPr>
        <w:widowControl/>
        <w:jc w:val="left"/>
        <w:rPr>
          <w:rFonts w:hint="eastAsia" w:ascii="宋体" w:hAnsi="宋体"/>
          <w:b/>
          <w:color w:val="000000"/>
          <w:sz w:val="28"/>
          <w:szCs w:val="28"/>
        </w:rPr>
      </w:pPr>
    </w:p>
    <w:p w14:paraId="6BA6B07A">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14:paraId="2266C4F9">
      <w:pPr>
        <w:widowControl/>
        <w:jc w:val="left"/>
        <w:rPr>
          <w:rFonts w:ascii="宋体" w:hAnsi="宋体"/>
          <w:b/>
          <w:color w:val="000000"/>
          <w:sz w:val="28"/>
          <w:szCs w:val="28"/>
        </w:rPr>
      </w:pPr>
      <w:r>
        <w:rPr>
          <w:rFonts w:hint="eastAsia" w:ascii="宋体" w:hAnsi="宋体"/>
          <w:b/>
          <w:color w:val="000000"/>
          <w:sz w:val="28"/>
          <w:szCs w:val="28"/>
        </w:rPr>
        <w:t>合同复印件：</w:t>
      </w: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24ED">
    <w:pPr>
      <w:pStyle w:val="8"/>
      <w:framePr w:wrap="around" w:vAnchor="text" w:hAnchor="margin" w:xAlign="right" w:y="1"/>
      <w:rPr>
        <w:rStyle w:val="16"/>
      </w:rPr>
    </w:pPr>
    <w:r>
      <w:fldChar w:fldCharType="begin"/>
    </w:r>
    <w:r>
      <w:rPr>
        <w:rStyle w:val="16"/>
      </w:rPr>
      <w:instrText xml:space="preserve">PAGE  </w:instrText>
    </w:r>
    <w:r>
      <w:fldChar w:fldCharType="separate"/>
    </w:r>
    <w:r>
      <w:rPr>
        <w:rStyle w:val="16"/>
      </w:rPr>
      <w:t>6</w:t>
    </w:r>
    <w:r>
      <w:fldChar w:fldCharType="end"/>
    </w:r>
  </w:p>
  <w:p w14:paraId="0A791DC1">
    <w:pPr>
      <w:pStyle w:val="8"/>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B5B44">
    <w:pPr>
      <w:pStyle w:val="8"/>
      <w:framePr w:wrap="around" w:vAnchor="text" w:hAnchor="margin" w:xAlign="right" w:y="1"/>
      <w:rPr>
        <w:rStyle w:val="16"/>
      </w:rPr>
    </w:pPr>
    <w:r>
      <w:fldChar w:fldCharType="begin"/>
    </w:r>
    <w:r>
      <w:rPr>
        <w:rStyle w:val="16"/>
      </w:rPr>
      <w:instrText xml:space="preserve">PAGE  </w:instrText>
    </w:r>
    <w:r>
      <w:fldChar w:fldCharType="end"/>
    </w:r>
  </w:p>
  <w:p w14:paraId="60E622E1">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65D1">
    <w:pPr>
      <w:pStyle w:val="8"/>
      <w:framePr w:wrap="around" w:vAnchor="text" w:hAnchor="margin" w:xAlign="right" w:y="1"/>
      <w:rPr>
        <w:rStyle w:val="16"/>
      </w:rPr>
    </w:pPr>
    <w:r>
      <w:fldChar w:fldCharType="begin"/>
    </w:r>
    <w:r>
      <w:rPr>
        <w:rStyle w:val="16"/>
      </w:rPr>
      <w:instrText xml:space="preserve">PAGE  </w:instrText>
    </w:r>
    <w:r>
      <w:fldChar w:fldCharType="separate"/>
    </w:r>
    <w:r>
      <w:rPr>
        <w:rStyle w:val="16"/>
      </w:rPr>
      <w:t>1</w:t>
    </w:r>
    <w:r>
      <w:fldChar w:fldCharType="end"/>
    </w:r>
  </w:p>
  <w:p w14:paraId="665FE5C6">
    <w:pPr>
      <w:pStyle w:val="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060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C872">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GEzZWZlMDI5ZTk2NTkyMmI3MmIyNTdjMGRjMGE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10E65DFE"/>
    <w:rsid w:val="130B2FC9"/>
    <w:rsid w:val="1C2D5B40"/>
    <w:rsid w:val="268C3D52"/>
    <w:rsid w:val="2C4B5AD5"/>
    <w:rsid w:val="2F865C08"/>
    <w:rsid w:val="4012098A"/>
    <w:rsid w:val="4D7E2A43"/>
    <w:rsid w:val="556F163B"/>
    <w:rsid w:val="5AEE6B71"/>
    <w:rsid w:val="69750B97"/>
    <w:rsid w:val="6C1A6F15"/>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link w:val="25"/>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23"/>
    <w:qFormat/>
    <w:uiPriority w:val="0"/>
    <w:pPr>
      <w:ind w:firstLine="420" w:firstLineChars="200"/>
    </w:pPr>
    <w:rPr>
      <w:szCs w:val="20"/>
    </w:rPr>
  </w:style>
  <w:style w:type="paragraph" w:styleId="5">
    <w:name w:val="Body Text Indent"/>
    <w:basedOn w:val="1"/>
    <w:next w:val="4"/>
    <w:link w:val="26"/>
    <w:semiHidden/>
    <w:unhideWhenUsed/>
    <w:qFormat/>
    <w:uiPriority w:val="99"/>
    <w:pPr>
      <w:spacing w:after="120"/>
      <w:ind w:left="420" w:leftChars="200"/>
    </w:pPr>
    <w:rPr>
      <w:rFonts w:asciiTheme="minorHAnsi" w:hAnsiTheme="minorHAnsi" w:eastAsiaTheme="minorEastAsia" w:cstheme="minorBidi"/>
    </w:rPr>
  </w:style>
  <w:style w:type="paragraph" w:styleId="6">
    <w:name w:val="Date"/>
    <w:basedOn w:val="1"/>
    <w:next w:val="1"/>
    <w:link w:val="22"/>
    <w:qFormat/>
    <w:uiPriority w:val="0"/>
    <w:rPr>
      <w:sz w:val="24"/>
      <w:szCs w:val="20"/>
    </w:r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next w:val="1"/>
    <w:qFormat/>
    <w:uiPriority w:val="0"/>
    <w:pPr>
      <w:spacing w:after="120" w:line="240" w:lineRule="auto"/>
      <w:ind w:left="420" w:leftChars="200" w:firstLine="420"/>
    </w:pPr>
    <w:rPr>
      <w:rFonts w:cs="宋体"/>
      <w:sz w:val="21"/>
      <w:szCs w:val="21"/>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page number"/>
    <w:basedOn w:val="14"/>
    <w:qFormat/>
    <w:uiPriority w:val="0"/>
  </w:style>
  <w:style w:type="character" w:customStyle="1" w:styleId="17">
    <w:name w:val="页眉 Char"/>
    <w:basedOn w:val="14"/>
    <w:link w:val="9"/>
    <w:qFormat/>
    <w:uiPriority w:val="99"/>
    <w:rPr>
      <w:sz w:val="18"/>
      <w:szCs w:val="18"/>
    </w:rPr>
  </w:style>
  <w:style w:type="character" w:customStyle="1" w:styleId="18">
    <w:name w:val="页脚 Char"/>
    <w:basedOn w:val="14"/>
    <w:link w:val="8"/>
    <w:qFormat/>
    <w:uiPriority w:val="0"/>
    <w:rPr>
      <w:sz w:val="18"/>
      <w:szCs w:val="18"/>
    </w:rPr>
  </w:style>
  <w:style w:type="character" w:customStyle="1" w:styleId="19">
    <w:name w:val="批注框文本 Char"/>
    <w:basedOn w:val="14"/>
    <w:link w:val="7"/>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paragraph" w:customStyle="1" w:styleId="21">
    <w:name w:val="彩色列表 - 强调文字颜色 11"/>
    <w:basedOn w:val="1"/>
    <w:qFormat/>
    <w:uiPriority w:val="34"/>
    <w:pPr>
      <w:ind w:firstLine="420" w:firstLineChars="200"/>
    </w:pPr>
    <w:rPr>
      <w:rFonts w:ascii="Calibri" w:hAnsi="Calibri"/>
      <w:szCs w:val="22"/>
    </w:rPr>
  </w:style>
  <w:style w:type="character" w:customStyle="1" w:styleId="22">
    <w:name w:val="日期 Char"/>
    <w:basedOn w:val="14"/>
    <w:link w:val="6"/>
    <w:qFormat/>
    <w:uiPriority w:val="0"/>
    <w:rPr>
      <w:rFonts w:ascii="Times New Roman" w:hAnsi="Times New Roman" w:eastAsia="宋体" w:cs="Times New Roman"/>
      <w:sz w:val="24"/>
      <w:szCs w:val="20"/>
    </w:rPr>
  </w:style>
  <w:style w:type="character" w:customStyle="1" w:styleId="23">
    <w:name w:val="正文缩进 Char"/>
    <w:link w:val="4"/>
    <w:qFormat/>
    <w:uiPriority w:val="0"/>
    <w:rPr>
      <w:rFonts w:ascii="Times New Roman" w:hAnsi="Times New Roman" w:eastAsia="宋体" w:cs="Times New Roman"/>
      <w:szCs w:val="20"/>
    </w:rPr>
  </w:style>
  <w:style w:type="character" w:customStyle="1" w:styleId="24">
    <w:name w:val="15_0"/>
    <w:qFormat/>
    <w:uiPriority w:val="0"/>
    <w:rPr>
      <w:rFonts w:hint="default" w:ascii="Times New Roman" w:hAnsi="Times New Roman" w:cs="Times New Roman"/>
      <w:color w:val="0000FF"/>
      <w:u w:val="single"/>
    </w:rPr>
  </w:style>
  <w:style w:type="character" w:customStyle="1" w:styleId="25">
    <w:name w:val="标题 2 Char"/>
    <w:basedOn w:val="14"/>
    <w:link w:val="3"/>
    <w:qFormat/>
    <w:uiPriority w:val="0"/>
    <w:rPr>
      <w:rFonts w:ascii="Arial" w:hAnsi="Arial" w:eastAsia="黑体" w:cs="Times New Roman"/>
      <w:b/>
      <w:bCs/>
      <w:sz w:val="32"/>
      <w:szCs w:val="32"/>
    </w:rPr>
  </w:style>
  <w:style w:type="character" w:customStyle="1" w:styleId="26">
    <w:name w:val="正文文本缩进 Char"/>
    <w:basedOn w:val="14"/>
    <w:link w:val="5"/>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9</Pages>
  <Words>6358</Words>
  <Characters>7949</Characters>
  <Lines>67</Lines>
  <Paragraphs>19</Paragraphs>
  <TotalTime>0</TotalTime>
  <ScaleCrop>false</ScaleCrop>
  <LinksUpToDate>false</LinksUpToDate>
  <CharactersWithSpaces>8030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admin</cp:lastModifiedBy>
  <dcterms:modified xsi:type="dcterms:W3CDTF">2026-06-25T10:32:26Z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