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8D038">
      <w:pPr>
        <w:spacing w:before="480" w:after="480" w:line="288" w:lineRule="auto"/>
        <w:ind w:left="0"/>
        <w:jc w:val="center"/>
        <w:rPr>
          <w:rFonts w:hint="default" w:eastAsia="等线"/>
          <w:sz w:val="36"/>
          <w:szCs w:val="36"/>
          <w:lang w:val="en-US" w:eastAsia="zh-CN"/>
        </w:rPr>
      </w:pPr>
      <w:r>
        <w:rPr>
          <w:rFonts w:ascii="Arial" w:hAnsi="Arial" w:eastAsia="等线" w:cs="Arial"/>
          <w:b/>
          <w:sz w:val="36"/>
          <w:szCs w:val="36"/>
        </w:rPr>
        <w:t>VI设计项目</w:t>
      </w:r>
      <w:r>
        <w:rPr>
          <w:rFonts w:hint="eastAsia" w:ascii="Arial" w:hAnsi="Arial" w:eastAsia="等线" w:cs="Arial"/>
          <w:b/>
          <w:sz w:val="36"/>
          <w:szCs w:val="36"/>
          <w:lang w:val="en-US" w:eastAsia="zh-CN"/>
        </w:rPr>
        <w:t>采购需求</w:t>
      </w:r>
    </w:p>
    <w:p w14:paraId="33C6020D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一、项目总则</w:t>
      </w:r>
      <w:bookmarkEnd w:id="0"/>
    </w:p>
    <w:p w14:paraId="06AF9680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1.1 项目名称</w:t>
      </w:r>
      <w:bookmarkEnd w:id="1"/>
    </w:p>
    <w:p w14:paraId="093CBF35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浙江医院</w:t>
      </w:r>
      <w:r>
        <w:rPr>
          <w:rFonts w:ascii="Arial" w:hAnsi="Arial" w:eastAsia="等线" w:cs="Arial"/>
          <w:sz w:val="22"/>
        </w:rPr>
        <w:t>视觉识别系统（VI）设计项目</w:t>
      </w:r>
    </w:p>
    <w:p w14:paraId="6CE89ACD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1.2 项目背景</w:t>
      </w:r>
      <w:bookmarkEnd w:id="2"/>
    </w:p>
    <w:p w14:paraId="398D509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为进一步塑造医院专业、温暖、权威的品牌形象，统一院内视觉展示标准，优化就医环境视觉体验，提升医院品牌辨识度、公信力与社会影响力，规范全院各类宣传、办公、环境、服务视觉体系，摒弃零散、不统一的视觉呈现问题，打造兼具医疗专业性、人文关怀性、时代创新性的专属品牌视觉体系。</w:t>
      </w:r>
    </w:p>
    <w:p w14:paraId="5043555E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1.3 项目目标</w:t>
      </w:r>
      <w:bookmarkEnd w:id="3"/>
    </w:p>
    <w:p w14:paraId="7DB5988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医院核心文化理念、服务宗旨与发展定位，搭建一套系统化、标准化、可延展、可落地的完整VI视觉体系。设计成果需贴合医疗卫生行业特性，兼顾严谨专业、洁净舒适、温情惠民的核心调性，适配医院办公、宣传、环境导视、对外服务、文化建设等全场景使用，同时具备良好的延展性，可满足医院未来扩容、品牌升级、文化拓展等长期发展需求，助力医院品牌规范化、品质化建设。</w:t>
      </w:r>
    </w:p>
    <w:p w14:paraId="605B6073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1.4 项目预算</w:t>
      </w:r>
      <w:bookmarkEnd w:id="4"/>
    </w:p>
    <w:p w14:paraId="4DC4CF83">
      <w:pPr>
        <w:spacing w:before="120" w:after="120" w:line="288" w:lineRule="auto"/>
        <w:ind w:left="0" w:firstLine="440" w:firstLineChars="20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等线" w:cs="Arial"/>
          <w:color w:val="000000" w:themeColor="text1"/>
          <w:sz w:val="22"/>
          <w14:textFill>
            <w14:solidFill>
              <w14:schemeClr w14:val="tx1"/>
            </w14:solidFill>
          </w14:textFill>
        </w:rPr>
        <w:t>本项目预算金额：</w:t>
      </w:r>
      <w:r>
        <w:rPr>
          <w:rFonts w:hint="eastAsia" w:ascii="Arial" w:hAnsi="Arial" w:eastAsia="等线" w:cs="Arial"/>
          <w:color w:val="000000" w:themeColor="text1"/>
          <w:sz w:val="22"/>
          <w:u w:val="single"/>
          <w:lang w:val="en-US" w:eastAsia="zh-CN"/>
          <w14:textFill>
            <w14:solidFill>
              <w14:schemeClr w14:val="tx1"/>
            </w14:solidFill>
          </w14:textFill>
        </w:rPr>
        <w:t>4万</w:t>
      </w:r>
      <w:r>
        <w:rPr>
          <w:rFonts w:ascii="Arial" w:hAnsi="Arial" w:eastAsia="等线" w:cs="Arial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元</w:t>
      </w:r>
      <w:r>
        <w:rPr>
          <w:rFonts w:ascii="Arial" w:hAnsi="Arial" w:eastAsia="等线" w:cs="Arial"/>
          <w:color w:val="000000" w:themeColor="text1"/>
          <w:sz w:val="22"/>
          <w14:textFill>
            <w14:solidFill>
              <w14:schemeClr w14:val="tx1"/>
            </w14:solidFill>
          </w14:textFill>
        </w:rPr>
        <w:t>（含税、含设计、修改、交付、售后指导等全部费用，无额外隐形收费）</w:t>
      </w:r>
    </w:p>
    <w:p w14:paraId="1ECE5C5A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1.5 服务周期</w:t>
      </w:r>
      <w:bookmarkEnd w:id="5"/>
    </w:p>
    <w:p w14:paraId="6EC599E8">
      <w:pPr>
        <w:spacing w:before="120" w:after="120" w:line="288" w:lineRule="auto"/>
        <w:ind w:left="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等线" w:cs="Arial"/>
          <w:color w:val="000000" w:themeColor="text1"/>
          <w:sz w:val="22"/>
          <w14:textFill>
            <w14:solidFill>
              <w14:schemeClr w14:val="tx1"/>
            </w14:solidFill>
          </w14:textFill>
        </w:rPr>
        <w:t>1. 合同签订后7个工作日内：完成需求深度对接、方案初稿构思及首轮提案；</w:t>
      </w:r>
    </w:p>
    <w:p w14:paraId="5A7FEF9E">
      <w:pPr>
        <w:spacing w:before="120" w:after="120" w:line="288" w:lineRule="auto"/>
        <w:ind w:left="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等线" w:cs="Arial"/>
          <w:color w:val="000000" w:themeColor="text1"/>
          <w:sz w:val="22"/>
          <w14:textFill>
            <w14:solidFill>
              <w14:schemeClr w14:val="tx1"/>
            </w14:solidFill>
          </w14:textFill>
        </w:rPr>
        <w:t>2. 合同签订后20个工作日内：完成全部VI基础系统、应用系统设计及初稿审核修改；</w:t>
      </w:r>
    </w:p>
    <w:p w14:paraId="21687E2B">
      <w:pPr>
        <w:spacing w:before="120" w:after="120" w:line="288" w:lineRule="auto"/>
        <w:ind w:left="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等线" w:cs="Arial"/>
          <w:color w:val="000000" w:themeColor="text1"/>
          <w:sz w:val="22"/>
          <w14:textFill>
            <w14:solidFill>
              <w14:schemeClr w14:val="tx1"/>
            </w14:solidFill>
          </w14:textFill>
        </w:rPr>
        <w:t>3. 合同签订后30个工作日内：完成终稿确认、全套VI手册编制、素材整理交付；</w:t>
      </w:r>
    </w:p>
    <w:p w14:paraId="030C0A30">
      <w:pPr>
        <w:spacing w:before="120" w:after="120" w:line="288" w:lineRule="auto"/>
        <w:ind w:left="0"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等线" w:cs="Arial"/>
          <w:color w:val="000000" w:themeColor="text1"/>
          <w:sz w:val="22"/>
          <w14:textFill>
            <w14:solidFill>
              <w14:schemeClr w14:val="tx1"/>
            </w14:solidFill>
          </w14:textFill>
        </w:rPr>
        <w:t>4. 交付后提供6个月免费售后落地指导服务。</w:t>
      </w:r>
    </w:p>
    <w:p w14:paraId="42B155F9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1.6 招标人信息</w:t>
      </w:r>
      <w:bookmarkEnd w:id="6"/>
    </w:p>
    <w:p w14:paraId="28597B74">
      <w:pPr>
        <w:spacing w:before="120" w:after="120" w:line="288" w:lineRule="auto"/>
        <w:ind w:left="0"/>
        <w:jc w:val="left"/>
        <w:rPr>
          <w:rFonts w:hint="default" w:eastAsia="等线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等线" w:cs="Arial"/>
          <w:color w:val="000000" w:themeColor="text1"/>
          <w:sz w:val="22"/>
          <w14:textFill>
            <w14:solidFill>
              <w14:schemeClr w14:val="tx1"/>
            </w14:solidFill>
          </w14:textFill>
        </w:rPr>
        <w:t>招标人：</w:t>
      </w:r>
      <w:r>
        <w:rPr>
          <w:rFonts w:hint="eastAsia" w:ascii="Arial" w:hAnsi="Arial" w:eastAsia="等线" w:cs="Arial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Arial" w:hAnsi="Arial" w:eastAsia="等线" w:cs="Arial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Arial" w:hAnsi="Arial" w:eastAsia="等线" w:cs="Arial"/>
          <w:color w:val="000000" w:themeColor="text1"/>
          <w:sz w:val="2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浙江医院  </w:t>
      </w:r>
      <w:r>
        <w:rPr>
          <w:rFonts w:hint="eastAsia" w:ascii="Arial" w:hAnsi="Arial" w:eastAsia="等线" w:cs="Arial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Arial" w:hAnsi="Arial" w:eastAsia="等线" w:cs="Arial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Arial" w:hAnsi="Arial" w:eastAsia="等线" w:cs="Arial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Arial" w:hAnsi="Arial" w:eastAsia="等线" w:cs="Arial"/>
          <w:color w:val="000000" w:themeColor="text1"/>
          <w:sz w:val="2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</w:t>
      </w:r>
      <w:bookmarkStart w:id="13" w:name="_GoBack"/>
      <w:bookmarkEnd w:id="13"/>
    </w:p>
    <w:p w14:paraId="68D1C6B6">
      <w:pPr>
        <w:spacing w:before="120" w:after="120" w:line="288" w:lineRule="auto"/>
        <w:ind w:left="0"/>
        <w:jc w:val="left"/>
        <w:rPr>
          <w:rFonts w:hint="default" w:eastAsia="等线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等线" w:cs="Arial"/>
          <w:color w:val="000000" w:themeColor="text1"/>
          <w:sz w:val="22"/>
          <w14:textFill>
            <w14:solidFill>
              <w14:schemeClr w14:val="tx1"/>
            </w14:solidFill>
          </w14:textFill>
        </w:rPr>
        <w:t>地址：</w:t>
      </w:r>
      <w:r>
        <w:rPr>
          <w:rFonts w:hint="eastAsia" w:ascii="Arial" w:hAnsi="Arial" w:eastAsia="等线" w:cs="Arial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Arial" w:hAnsi="Arial" w:eastAsia="等线" w:cs="Arial"/>
          <w:color w:val="000000" w:themeColor="text1"/>
          <w:sz w:val="2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杭州市西湖区灵隐路12号 </w:t>
      </w:r>
      <w:r>
        <w:rPr>
          <w:rFonts w:hint="eastAsia" w:ascii="Arial" w:hAnsi="Arial" w:eastAsia="等线" w:cs="Arial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Arial" w:hAnsi="Arial" w:eastAsia="等线" w:cs="Arial"/>
          <w:color w:val="000000" w:themeColor="text1"/>
          <w:sz w:val="2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</w:t>
      </w:r>
    </w:p>
    <w:p w14:paraId="25447A34">
      <w:pPr>
        <w:spacing w:before="120" w:after="120" w:line="288" w:lineRule="auto"/>
        <w:ind w:left="0"/>
        <w:jc w:val="left"/>
        <w:rPr>
          <w:rFonts w:hint="eastAsia" w:eastAsia="等线"/>
          <w:color w:val="000000" w:themeColor="text1"/>
          <w:u w:val="single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等线" w:cs="Arial"/>
          <w:color w:val="000000" w:themeColor="text1"/>
          <w:sz w:val="22"/>
          <w14:textFill>
            <w14:solidFill>
              <w14:schemeClr w14:val="tx1"/>
            </w14:solidFill>
          </w14:textFill>
        </w:rPr>
        <w:t>联系方式：</w:t>
      </w:r>
      <w:r>
        <w:rPr>
          <w:rFonts w:hint="eastAsia" w:ascii="Arial" w:hAnsi="Arial" w:eastAsia="等线" w:cs="Arial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Arial" w:hAnsi="Arial" w:eastAsia="等线" w:cs="Arial"/>
          <w:color w:val="000000" w:themeColor="text1"/>
          <w:sz w:val="22"/>
          <w:u w:val="single"/>
          <w:lang w:val="en-US" w:eastAsia="zh-CN"/>
          <w14:textFill>
            <w14:solidFill>
              <w14:schemeClr w14:val="tx1"/>
            </w14:solidFill>
          </w14:textFill>
        </w:rPr>
        <w:t>0571-87987373</w:t>
      </w:r>
      <w:r>
        <w:rPr>
          <w:rFonts w:hint="eastAsia" w:ascii="Arial" w:hAnsi="Arial" w:eastAsia="等线" w:cs="Arial"/>
          <w:color w:val="000000" w:themeColor="text1"/>
          <w:sz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Arial" w:hAnsi="Arial" w:eastAsia="等线" w:cs="Arial"/>
          <w:color w:val="000000" w:themeColor="text1"/>
          <w:sz w:val="2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Arial" w:hAnsi="Arial" w:eastAsia="等线" w:cs="Arial"/>
          <w:color w:val="000000" w:themeColor="text1"/>
          <w:sz w:val="2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</w:t>
      </w:r>
    </w:p>
    <w:p w14:paraId="66EB34D8">
      <w:pPr>
        <w:spacing w:before="320" w:after="120" w:line="288" w:lineRule="auto"/>
        <w:ind w:left="0"/>
        <w:jc w:val="left"/>
        <w:outlineLvl w:val="1"/>
      </w:pPr>
      <w:bookmarkStart w:id="7" w:name="heading_12"/>
      <w:r>
        <w:rPr>
          <w:rFonts w:hint="eastAsia" w:ascii="Arial" w:hAnsi="Arial" w:eastAsia="等线" w:cs="Arial"/>
          <w:b/>
          <w:sz w:val="32"/>
          <w:lang w:val="en-US" w:eastAsia="zh-CN"/>
        </w:rPr>
        <w:t>二</w:t>
      </w:r>
      <w:r>
        <w:rPr>
          <w:rFonts w:ascii="Arial" w:hAnsi="Arial" w:eastAsia="等线" w:cs="Arial"/>
          <w:b/>
          <w:sz w:val="32"/>
        </w:rPr>
        <w:t>、项目设计内容及要求</w:t>
      </w:r>
      <w:bookmarkEnd w:id="7"/>
    </w:p>
    <w:p w14:paraId="71351E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本项目需完成</w:t>
      </w:r>
      <w:r>
        <w:rPr>
          <w:rFonts w:ascii="Arial" w:hAnsi="Arial" w:eastAsia="等线" w:cs="Arial"/>
          <w:b/>
          <w:sz w:val="22"/>
        </w:rPr>
        <w:t>VI基础视觉系统、VI应用视觉系统</w:t>
      </w:r>
      <w:r>
        <w:rPr>
          <w:rFonts w:ascii="Arial" w:hAnsi="Arial" w:eastAsia="等线" w:cs="Arial"/>
          <w:sz w:val="22"/>
        </w:rPr>
        <w:t>核心工作，贴合医院公益属性、医疗专业属性，风格简约大气、庄重温暖、辨识度高，杜绝花哨、浮夸、商业化过重设计。</w:t>
      </w:r>
    </w:p>
    <w:p w14:paraId="20EA6BDB">
      <w:pPr>
        <w:spacing w:before="300" w:after="120" w:line="288" w:lineRule="auto"/>
        <w:ind w:left="0"/>
        <w:jc w:val="left"/>
        <w:outlineLvl w:val="2"/>
      </w:pPr>
      <w:bookmarkStart w:id="8" w:name="heading_14"/>
      <w:r>
        <w:rPr>
          <w:rFonts w:hint="eastAsia" w:ascii="Arial" w:hAnsi="Arial" w:eastAsia="等线" w:cs="Arial"/>
          <w:b/>
          <w:sz w:val="30"/>
          <w:lang w:val="en-US" w:eastAsia="zh-CN"/>
        </w:rPr>
        <w:t>2</w:t>
      </w:r>
      <w:r>
        <w:rPr>
          <w:rFonts w:ascii="Arial" w:hAnsi="Arial" w:eastAsia="等线" w:cs="Arial"/>
          <w:b/>
          <w:sz w:val="30"/>
        </w:rPr>
        <w:t>.2 VI基础视觉系统设计</w:t>
      </w:r>
      <w:bookmarkEnd w:id="8"/>
    </w:p>
    <w:p w14:paraId="3CBFEB3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搭建标准化、规范化的基础视觉元素，明确所有基础元素的使用规范、禁用规范，保障全院视觉统一，具体包含：</w:t>
      </w:r>
    </w:p>
    <w:p w14:paraId="74BE566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品牌LOGO设计（优化升级或全新原创）：包含标志正形、负形、简约版、竖向版、横向版等多规格适配样式；</w:t>
      </w:r>
    </w:p>
    <w:p w14:paraId="7EDABC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标准字体设计：中文标准字体、英文标准字体、专用标题字体、正文字体规范；</w:t>
      </w:r>
    </w:p>
    <w:p w14:paraId="6F10AFB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标准色彩系统：主色、辅助色、点缀色、安全色，明确色值（CMYK/RGB/HEX），适配印刷、屏幕展示、户外展示等不同场景；</w:t>
      </w:r>
    </w:p>
    <w:p w14:paraId="3246FBB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4. 基础组合规范：LOGO与字体组合、LOGO与色彩组合、横竖组合、固定间距组合；</w:t>
      </w:r>
    </w:p>
    <w:p w14:paraId="155361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5. 辅助图形设计：原创专属辅助纹样、装饰图形、底纹样式，适配医疗场景使用；</w:t>
      </w:r>
    </w:p>
    <w:p w14:paraId="2D4B4EC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6. 视觉禁用规范：明确图形变形、色彩偏差、比例错乱、随意搭配等禁用场景。</w:t>
      </w:r>
    </w:p>
    <w:p w14:paraId="4B3CCBD9">
      <w:pPr>
        <w:spacing w:before="300" w:after="120" w:line="288" w:lineRule="auto"/>
        <w:ind w:left="0"/>
        <w:jc w:val="left"/>
        <w:outlineLvl w:val="2"/>
      </w:pPr>
      <w:bookmarkStart w:id="9" w:name="heading_15"/>
      <w:r>
        <w:rPr>
          <w:rFonts w:hint="eastAsia" w:ascii="Arial" w:hAnsi="Arial" w:eastAsia="等线" w:cs="Arial"/>
          <w:b/>
          <w:sz w:val="30"/>
          <w:lang w:val="en-US" w:eastAsia="zh-CN"/>
        </w:rPr>
        <w:t>2.</w:t>
      </w:r>
      <w:r>
        <w:rPr>
          <w:rFonts w:ascii="Arial" w:hAnsi="Arial" w:eastAsia="等线" w:cs="Arial"/>
          <w:b/>
          <w:sz w:val="30"/>
        </w:rPr>
        <w:t>3 VI应用视觉系统设计</w:t>
      </w:r>
      <w:bookmarkEnd w:id="9"/>
    </w:p>
    <w:p w14:paraId="710F595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基于基础视觉系统，完成全院全场景应用设计，适配办公、宣传、环境、服务、服饰、物料等各类场景，具体分类如下：</w:t>
      </w:r>
    </w:p>
    <w:p w14:paraId="520E9B47">
      <w:pPr>
        <w:spacing w:before="260" w:after="120" w:line="288" w:lineRule="auto"/>
        <w:ind w:left="0"/>
        <w:jc w:val="left"/>
        <w:outlineLvl w:val="3"/>
      </w:pPr>
      <w:bookmarkStart w:id="10" w:name="heading_16"/>
      <w:r>
        <w:rPr>
          <w:rFonts w:hint="eastAsia" w:ascii="Arial" w:hAnsi="Arial" w:eastAsia="等线" w:cs="Arial"/>
          <w:b/>
          <w:sz w:val="28"/>
          <w:lang w:val="en-US" w:eastAsia="zh-CN"/>
        </w:rPr>
        <w:t>2</w:t>
      </w:r>
      <w:r>
        <w:rPr>
          <w:rFonts w:ascii="Arial" w:hAnsi="Arial" w:eastAsia="等线" w:cs="Arial"/>
          <w:b/>
          <w:sz w:val="28"/>
        </w:rPr>
        <w:t>.3.1 办公事务类</w:t>
      </w:r>
      <w:bookmarkEnd w:id="10"/>
    </w:p>
    <w:p w14:paraId="0BAD61C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信纸、信封、文件袋、档案盒、工作证、胸牌、工牌、名片、会议席卡、笔记本、文件夹、审批单据、页眉页脚模板等全套办公物料视觉规范设计。</w:t>
      </w:r>
    </w:p>
    <w:p w14:paraId="03308164">
      <w:pPr>
        <w:spacing w:before="260" w:after="120" w:line="288" w:lineRule="auto"/>
        <w:ind w:left="0"/>
        <w:jc w:val="left"/>
        <w:outlineLvl w:val="3"/>
      </w:pPr>
      <w:bookmarkStart w:id="11" w:name="heading_17"/>
      <w:r>
        <w:rPr>
          <w:rFonts w:hint="eastAsia" w:ascii="Arial" w:hAnsi="Arial" w:eastAsia="等线" w:cs="Arial"/>
          <w:b/>
          <w:sz w:val="28"/>
          <w:lang w:val="en-US" w:eastAsia="zh-CN"/>
        </w:rPr>
        <w:t>2</w:t>
      </w:r>
      <w:r>
        <w:rPr>
          <w:rFonts w:ascii="Arial" w:hAnsi="Arial" w:eastAsia="等线" w:cs="Arial"/>
          <w:b/>
          <w:sz w:val="28"/>
        </w:rPr>
        <w:t>.3.2 宣传物料类</w:t>
      </w:r>
      <w:bookmarkEnd w:id="11"/>
    </w:p>
    <w:p w14:paraId="7AA1C547">
      <w:pPr>
        <w:spacing w:before="120" w:after="120" w:line="288" w:lineRule="auto"/>
        <w:ind w:left="0"/>
        <w:jc w:val="left"/>
        <w:rPr>
          <w:highlight w:val="none"/>
        </w:rPr>
      </w:pPr>
      <w:r>
        <w:rPr>
          <w:rFonts w:ascii="Arial" w:hAnsi="Arial" w:eastAsia="等线" w:cs="Arial"/>
          <w:sz w:val="22"/>
        </w:rPr>
        <w:t>医院宣传册模板、折页模板、海报通用模板、易拉宝/展架版式、横幅版式、邀请函、荣誉证书、台历、手提袋、文创礼品版式；新媒体视觉模板</w:t>
      </w:r>
      <w:r>
        <w:rPr>
          <w:rFonts w:ascii="Arial" w:hAnsi="Arial" w:eastAsia="等线" w:cs="Arial"/>
          <w:sz w:val="22"/>
          <w:highlight w:val="none"/>
        </w:rPr>
        <w:t>（公众号头图、配图、视频片头片尾、朋友圈宣传图、短视频封面）等。</w:t>
      </w:r>
    </w:p>
    <w:p w14:paraId="456B3913">
      <w:pPr>
        <w:spacing w:before="260" w:after="120" w:line="288" w:lineRule="auto"/>
        <w:ind w:left="0"/>
        <w:jc w:val="left"/>
        <w:outlineLvl w:val="3"/>
      </w:pPr>
      <w:bookmarkStart w:id="12" w:name="heading_18"/>
      <w:r>
        <w:rPr>
          <w:rFonts w:hint="eastAsia" w:ascii="Arial" w:hAnsi="Arial" w:eastAsia="等线" w:cs="Arial"/>
          <w:b/>
          <w:sz w:val="28"/>
          <w:lang w:val="en-US" w:eastAsia="zh-CN"/>
        </w:rPr>
        <w:t>2</w:t>
      </w:r>
      <w:r>
        <w:rPr>
          <w:rFonts w:ascii="Arial" w:hAnsi="Arial" w:eastAsia="等线" w:cs="Arial"/>
          <w:b/>
          <w:sz w:val="28"/>
        </w:rPr>
        <w:t>.3.3 环境导视类</w:t>
      </w:r>
      <w:bookmarkEnd w:id="12"/>
    </w:p>
    <w:p w14:paraId="30FC44F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医院院内形象墙、门诊导视牌、楼层指示牌、科室门牌、功能区域标识、温馨提示牌、警示标识、地贴导向、宣传栏版式、文化墙基础版式、护士站形象视觉规范等，适配医院门诊楼、住院楼、行政楼、走廊、大厅等全区域使用。</w:t>
      </w:r>
    </w:p>
    <w:p w14:paraId="35F4CE33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62C2A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85A0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B6923"/>
    <w:rsid w:val="17CC0BEF"/>
    <w:rsid w:val="1C8F393E"/>
    <w:rsid w:val="1ECE208A"/>
    <w:rsid w:val="2110329F"/>
    <w:rsid w:val="21674E89"/>
    <w:rsid w:val="3F917849"/>
    <w:rsid w:val="40F25A08"/>
    <w:rsid w:val="42C13FA2"/>
    <w:rsid w:val="4480013D"/>
    <w:rsid w:val="56AB6FEB"/>
    <w:rsid w:val="5CA434D6"/>
    <w:rsid w:val="62FC5518"/>
    <w:rsid w:val="65EE67C8"/>
    <w:rsid w:val="72BB17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1282</Words>
  <Characters>1351</Characters>
  <TotalTime>838</TotalTime>
  <ScaleCrop>false</ScaleCrop>
  <LinksUpToDate>false</LinksUpToDate>
  <CharactersWithSpaces>1554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2026-06-12T08:50:00Z</dcterms:created>
  <dc:creator>Apache POI</dc:creator>
  <cp:lastModifiedBy>詹忠武（占中伍）</cp:lastModifiedBy>
  <dcterms:modified xsi:type="dcterms:W3CDTF">2026-07-17T12:11:08Z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{"Label":"1","ContentProducer":"001191110102MACQD9K64010000","ProduceID":"7650428692158368724","ReservedCode1":"","ContentPropagator":"","PropagateID":"","ReservedCode2":""}</vt:lpwstr>
  </property>
  <property fmtid="{D5CDD505-2E9C-101B-9397-08002B2CF9AE}" pid="3" name="KSOTemplateDocerSaveRecord">
    <vt:lpwstr>eyJoZGlkIjoiMzEwNTM5NzYwMDRjMzkwZTVkZjY2ODkwMGIxNGU0OTUiLCJ1c2VySWQiOiI2MTQ2NTU4MzcifQ==</vt:lpwstr>
  </property>
  <property fmtid="{D5CDD505-2E9C-101B-9397-08002B2CF9AE}" pid="4" name="KSOProductBuildVer">
    <vt:lpwstr>2052-12.1.0.26895</vt:lpwstr>
  </property>
  <property fmtid="{D5CDD505-2E9C-101B-9397-08002B2CF9AE}" pid="5" name="ICV">
    <vt:lpwstr>378DBC1166A64A1CAD94862E16A0BA9A_13</vt:lpwstr>
  </property>
</Properties>
</file>