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1DBE6">
      <w:pPr>
        <w:widowControl/>
        <w:jc w:val="left"/>
        <w:rPr>
          <w:rFonts w:ascii="仿宋" w:hAnsi="仿宋" w:eastAsia="仿宋"/>
          <w:b/>
          <w:sz w:val="30"/>
          <w:szCs w:val="30"/>
        </w:rPr>
      </w:pPr>
      <w:r>
        <w:rPr>
          <w:rFonts w:hint="eastAsia" w:ascii="仿宋" w:hAnsi="仿宋" w:eastAsia="仿宋"/>
          <w:b/>
          <w:sz w:val="30"/>
          <w:szCs w:val="30"/>
        </w:rPr>
        <w:t>（必须提供）</w:t>
      </w:r>
    </w:p>
    <w:p w14:paraId="25035932">
      <w:pPr>
        <w:ind w:right="-110"/>
        <w:jc w:val="left"/>
        <w:rPr>
          <w:rFonts w:ascii="仿宋" w:hAnsi="仿宋" w:eastAsia="仿宋"/>
          <w:spacing w:val="40"/>
          <w:sz w:val="28"/>
          <w:szCs w:val="52"/>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8"/>
        <w:gridCol w:w="3656"/>
      </w:tblGrid>
      <w:tr w14:paraId="6763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4078" w:type="dxa"/>
            <w:vAlign w:val="center"/>
          </w:tcPr>
          <w:p w14:paraId="6D1BB342">
            <w:pPr>
              <w:ind w:right="-110"/>
              <w:jc w:val="center"/>
              <w:rPr>
                <w:rFonts w:ascii="仿宋" w:hAnsi="仿宋" w:eastAsia="仿宋"/>
                <w:b/>
                <w:spacing w:val="40"/>
                <w:sz w:val="24"/>
                <w:szCs w:val="52"/>
              </w:rPr>
            </w:pPr>
            <w:r>
              <w:rPr>
                <w:rFonts w:hint="eastAsia" w:ascii="仿宋" w:hAnsi="仿宋" w:eastAsia="仿宋"/>
                <w:b/>
                <w:spacing w:val="40"/>
                <w:sz w:val="24"/>
                <w:szCs w:val="52"/>
              </w:rPr>
              <w:t>项目</w:t>
            </w:r>
          </w:p>
        </w:tc>
        <w:tc>
          <w:tcPr>
            <w:tcW w:w="3656" w:type="dxa"/>
            <w:vAlign w:val="center"/>
          </w:tcPr>
          <w:p w14:paraId="2AD3567A">
            <w:pPr>
              <w:keepNext w:val="0"/>
              <w:keepLines w:val="0"/>
              <w:widowControl/>
              <w:suppressLineNumbers w:val="0"/>
              <w:jc w:val="left"/>
              <w:rPr>
                <w:rFonts w:hint="eastAsia" w:ascii="仿宋" w:hAnsi="仿宋" w:eastAsia="仿宋" w:cs="Tahoma"/>
                <w:b/>
                <w:color w:val="333333"/>
                <w:szCs w:val="18"/>
                <w:shd w:val="clear" w:color="auto" w:fill="FFFFFF"/>
              </w:rPr>
            </w:pPr>
            <w:r>
              <w:rPr>
                <w:rFonts w:ascii="宋体" w:hAnsi="宋体" w:eastAsia="宋体" w:cs="宋体"/>
                <w:kern w:val="0"/>
                <w:sz w:val="24"/>
                <w:szCs w:val="24"/>
                <w:lang w:val="en-US" w:eastAsia="zh-CN" w:bidi="ar"/>
              </w:rPr>
              <w:t>浙江医院医疗责任保险采购项目</w:t>
            </w:r>
          </w:p>
        </w:tc>
      </w:tr>
      <w:tr w14:paraId="6242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4078" w:type="dxa"/>
            <w:vAlign w:val="center"/>
          </w:tcPr>
          <w:p w14:paraId="50A49B1E">
            <w:pPr>
              <w:ind w:right="-110"/>
              <w:jc w:val="center"/>
              <w:rPr>
                <w:rFonts w:ascii="仿宋" w:hAnsi="仿宋" w:eastAsia="仿宋"/>
                <w:spacing w:val="40"/>
                <w:sz w:val="28"/>
                <w:szCs w:val="52"/>
              </w:rPr>
            </w:pPr>
            <w:r>
              <w:rPr>
                <w:rFonts w:ascii="仿宋" w:hAnsi="仿宋" w:eastAsia="仿宋"/>
                <w:spacing w:val="40"/>
                <w:sz w:val="28"/>
                <w:szCs w:val="52"/>
              </w:rPr>
              <w:t>公司名称</w:t>
            </w:r>
          </w:p>
        </w:tc>
        <w:tc>
          <w:tcPr>
            <w:tcW w:w="3656" w:type="dxa"/>
            <w:vAlign w:val="center"/>
          </w:tcPr>
          <w:p w14:paraId="77ED049B">
            <w:pPr>
              <w:ind w:right="-110"/>
              <w:jc w:val="center"/>
              <w:rPr>
                <w:rFonts w:ascii="仿宋" w:hAnsi="仿宋" w:eastAsia="仿宋"/>
                <w:spacing w:val="40"/>
                <w:sz w:val="28"/>
                <w:szCs w:val="52"/>
              </w:rPr>
            </w:pPr>
          </w:p>
        </w:tc>
      </w:tr>
      <w:tr w14:paraId="4087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4078" w:type="dxa"/>
            <w:vAlign w:val="center"/>
          </w:tcPr>
          <w:p w14:paraId="101C5BC2">
            <w:pPr>
              <w:ind w:right="-110"/>
              <w:jc w:val="center"/>
              <w:rPr>
                <w:rFonts w:ascii="仿宋" w:hAnsi="仿宋" w:eastAsia="仿宋"/>
                <w:spacing w:val="40"/>
                <w:sz w:val="28"/>
                <w:szCs w:val="52"/>
              </w:rPr>
            </w:pPr>
            <w:r>
              <w:rPr>
                <w:rFonts w:ascii="仿宋" w:hAnsi="仿宋" w:eastAsia="仿宋"/>
                <w:spacing w:val="40"/>
                <w:sz w:val="28"/>
                <w:szCs w:val="52"/>
              </w:rPr>
              <w:t>联系人</w:t>
            </w:r>
          </w:p>
        </w:tc>
        <w:tc>
          <w:tcPr>
            <w:tcW w:w="3656" w:type="dxa"/>
            <w:vAlign w:val="center"/>
          </w:tcPr>
          <w:p w14:paraId="7E4E596E">
            <w:pPr>
              <w:ind w:right="-110"/>
              <w:jc w:val="center"/>
              <w:rPr>
                <w:rFonts w:ascii="仿宋" w:hAnsi="仿宋" w:eastAsia="仿宋"/>
                <w:spacing w:val="40"/>
                <w:sz w:val="28"/>
                <w:szCs w:val="52"/>
              </w:rPr>
            </w:pPr>
          </w:p>
        </w:tc>
      </w:tr>
      <w:tr w14:paraId="1463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078" w:type="dxa"/>
            <w:vAlign w:val="center"/>
          </w:tcPr>
          <w:p w14:paraId="20F0B266">
            <w:pPr>
              <w:ind w:right="-110"/>
              <w:jc w:val="center"/>
              <w:rPr>
                <w:rFonts w:ascii="仿宋" w:hAnsi="仿宋" w:eastAsia="仿宋"/>
                <w:spacing w:val="40"/>
                <w:sz w:val="28"/>
                <w:szCs w:val="52"/>
              </w:rPr>
            </w:pPr>
            <w:r>
              <w:rPr>
                <w:rFonts w:ascii="仿宋" w:hAnsi="仿宋" w:eastAsia="仿宋"/>
                <w:spacing w:val="40"/>
                <w:sz w:val="28"/>
                <w:szCs w:val="52"/>
              </w:rPr>
              <w:t>手机号码</w:t>
            </w:r>
          </w:p>
        </w:tc>
        <w:tc>
          <w:tcPr>
            <w:tcW w:w="3656" w:type="dxa"/>
            <w:vAlign w:val="center"/>
          </w:tcPr>
          <w:p w14:paraId="47F0E29C">
            <w:pPr>
              <w:ind w:right="-110"/>
              <w:jc w:val="center"/>
              <w:rPr>
                <w:rFonts w:ascii="仿宋" w:hAnsi="仿宋" w:eastAsia="仿宋"/>
                <w:spacing w:val="40"/>
                <w:sz w:val="28"/>
                <w:szCs w:val="52"/>
              </w:rPr>
            </w:pPr>
          </w:p>
        </w:tc>
      </w:tr>
      <w:tr w14:paraId="7819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4078" w:type="dxa"/>
            <w:vAlign w:val="center"/>
          </w:tcPr>
          <w:p w14:paraId="3D13C5E4">
            <w:pPr>
              <w:ind w:right="-110"/>
              <w:jc w:val="center"/>
              <w:rPr>
                <w:rFonts w:ascii="仿宋" w:hAnsi="仿宋" w:eastAsia="仿宋"/>
                <w:spacing w:val="40"/>
                <w:sz w:val="28"/>
                <w:szCs w:val="52"/>
              </w:rPr>
            </w:pPr>
            <w:r>
              <w:rPr>
                <w:rFonts w:ascii="仿宋" w:hAnsi="仿宋" w:eastAsia="仿宋"/>
                <w:spacing w:val="40"/>
                <w:sz w:val="28"/>
                <w:szCs w:val="52"/>
              </w:rPr>
              <w:t>邮箱</w:t>
            </w:r>
          </w:p>
        </w:tc>
        <w:tc>
          <w:tcPr>
            <w:tcW w:w="3656" w:type="dxa"/>
            <w:vAlign w:val="center"/>
          </w:tcPr>
          <w:p w14:paraId="5D197AEA">
            <w:pPr>
              <w:ind w:right="-110"/>
              <w:jc w:val="center"/>
              <w:rPr>
                <w:rFonts w:ascii="仿宋" w:hAnsi="仿宋" w:eastAsia="仿宋"/>
                <w:spacing w:val="40"/>
                <w:sz w:val="28"/>
                <w:szCs w:val="52"/>
              </w:rPr>
            </w:pPr>
          </w:p>
        </w:tc>
      </w:tr>
      <w:tr w14:paraId="3AE9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4078" w:type="dxa"/>
            <w:vAlign w:val="center"/>
          </w:tcPr>
          <w:p w14:paraId="20A8651E">
            <w:pPr>
              <w:ind w:right="-110"/>
              <w:jc w:val="center"/>
              <w:rPr>
                <w:rFonts w:hint="default" w:ascii="仿宋" w:hAnsi="仿宋" w:eastAsia="仿宋"/>
                <w:spacing w:val="40"/>
                <w:sz w:val="28"/>
                <w:szCs w:val="52"/>
                <w:lang w:val="en-US" w:eastAsia="zh-CN"/>
              </w:rPr>
            </w:pPr>
            <w:r>
              <w:rPr>
                <w:rFonts w:hint="eastAsia" w:ascii="仿宋" w:hAnsi="仿宋" w:eastAsia="仿宋"/>
                <w:spacing w:val="40"/>
                <w:sz w:val="28"/>
                <w:szCs w:val="52"/>
                <w:lang w:val="en-US" w:eastAsia="zh-CN"/>
              </w:rPr>
              <w:t>小企业类型</w:t>
            </w:r>
          </w:p>
        </w:tc>
        <w:tc>
          <w:tcPr>
            <w:tcW w:w="3656" w:type="dxa"/>
            <w:vAlign w:val="center"/>
          </w:tcPr>
          <w:p w14:paraId="091276E9">
            <w:pPr>
              <w:ind w:right="-110"/>
              <w:jc w:val="center"/>
              <w:rPr>
                <w:rFonts w:hint="default" w:ascii="仿宋" w:hAnsi="仿宋" w:eastAsia="仿宋"/>
                <w:spacing w:val="40"/>
                <w:sz w:val="28"/>
                <w:szCs w:val="52"/>
                <w:lang w:val="en-US" w:eastAsia="zh-CN"/>
              </w:rPr>
            </w:pP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 xml:space="preserve">大型 </w:t>
            </w: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 xml:space="preserve">中型 </w:t>
            </w: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 xml:space="preserve">小型 </w:t>
            </w: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 xml:space="preserve">微型 </w:t>
            </w: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外资</w:t>
            </w:r>
          </w:p>
        </w:tc>
      </w:tr>
    </w:tbl>
    <w:p w14:paraId="37F99DA1">
      <w:pPr>
        <w:ind w:right="-110"/>
        <w:jc w:val="left"/>
        <w:rPr>
          <w:rFonts w:ascii="仿宋" w:hAnsi="仿宋" w:eastAsia="仿宋"/>
          <w:spacing w:val="40"/>
          <w:sz w:val="52"/>
          <w:szCs w:val="52"/>
        </w:rPr>
      </w:pPr>
      <w:r>
        <w:rPr>
          <w:rFonts w:ascii="仿宋" w:hAnsi="仿宋" w:eastAsia="仿宋"/>
          <w:spacing w:val="40"/>
          <w:szCs w:val="21"/>
        </w:rPr>
        <w:br w:type="page"/>
      </w:r>
    </w:p>
    <w:p w14:paraId="313C1C7D">
      <w:pPr>
        <w:widowControl/>
        <w:jc w:val="left"/>
        <w:rPr>
          <w:rFonts w:ascii="仿宋" w:hAnsi="仿宋" w:eastAsia="仿宋"/>
          <w:b/>
          <w:sz w:val="30"/>
          <w:szCs w:val="30"/>
        </w:rPr>
      </w:pPr>
      <w:r>
        <w:rPr>
          <w:rFonts w:hint="eastAsia" w:ascii="仿宋" w:hAnsi="仿宋" w:eastAsia="仿宋"/>
          <w:b/>
          <w:sz w:val="30"/>
          <w:szCs w:val="30"/>
        </w:rPr>
        <w:t>（必须提供）</w:t>
      </w:r>
    </w:p>
    <w:p w14:paraId="14EEB1DD">
      <w:pPr>
        <w:jc w:val="center"/>
        <w:rPr>
          <w:rFonts w:ascii="仿宋" w:hAnsi="仿宋" w:eastAsia="仿宋"/>
          <w:sz w:val="30"/>
          <w:szCs w:val="30"/>
        </w:rPr>
      </w:pPr>
    </w:p>
    <w:p w14:paraId="24DFA62A">
      <w:pPr>
        <w:jc w:val="center"/>
        <w:rPr>
          <w:rFonts w:ascii="仿宋" w:hAnsi="仿宋" w:eastAsia="仿宋"/>
          <w:sz w:val="32"/>
          <w:szCs w:val="32"/>
        </w:rPr>
      </w:pPr>
      <w:r>
        <w:rPr>
          <w:rFonts w:hint="eastAsia" w:ascii="仿宋" w:hAnsi="仿宋" w:eastAsia="仿宋"/>
          <w:sz w:val="32"/>
          <w:szCs w:val="32"/>
        </w:rPr>
        <w:t>价格承诺书</w:t>
      </w:r>
    </w:p>
    <w:p w14:paraId="610DE779">
      <w:pPr>
        <w:spacing w:line="360" w:lineRule="auto"/>
        <w:rPr>
          <w:rFonts w:ascii="仿宋" w:hAnsi="仿宋" w:eastAsia="仿宋"/>
          <w:sz w:val="30"/>
          <w:szCs w:val="30"/>
        </w:rPr>
      </w:pPr>
    </w:p>
    <w:p w14:paraId="0183A8FD">
      <w:pPr>
        <w:spacing w:line="360" w:lineRule="auto"/>
        <w:rPr>
          <w:rFonts w:ascii="仿宋" w:hAnsi="仿宋" w:eastAsia="仿宋"/>
          <w:sz w:val="30"/>
          <w:szCs w:val="30"/>
        </w:rPr>
      </w:pPr>
    </w:p>
    <w:p w14:paraId="3E9AE36E">
      <w:pPr>
        <w:spacing w:line="360" w:lineRule="auto"/>
        <w:rPr>
          <w:rFonts w:ascii="仿宋" w:hAnsi="仿宋" w:eastAsia="仿宋"/>
          <w:sz w:val="30"/>
          <w:szCs w:val="30"/>
        </w:rPr>
      </w:pPr>
    </w:p>
    <w:p w14:paraId="2BBD67EC">
      <w:pPr>
        <w:spacing w:line="360" w:lineRule="auto"/>
        <w:rPr>
          <w:rFonts w:ascii="仿宋" w:hAnsi="仿宋" w:eastAsia="仿宋"/>
          <w:sz w:val="30"/>
          <w:szCs w:val="30"/>
        </w:rPr>
      </w:pPr>
    </w:p>
    <w:p w14:paraId="2E6E0CF6">
      <w:pPr>
        <w:spacing w:line="360" w:lineRule="auto"/>
        <w:rPr>
          <w:rFonts w:ascii="仿宋" w:hAnsi="仿宋" w:eastAsia="仿宋"/>
          <w:sz w:val="30"/>
          <w:szCs w:val="30"/>
        </w:rPr>
      </w:pPr>
      <w:r>
        <w:rPr>
          <w:rFonts w:hint="eastAsia" w:ascii="仿宋" w:hAnsi="仿宋" w:eastAsia="仿宋"/>
          <w:sz w:val="30"/>
          <w:szCs w:val="30"/>
        </w:rPr>
        <w:t>致：浙江</w:t>
      </w:r>
      <w:r>
        <w:rPr>
          <w:rFonts w:ascii="仿宋" w:hAnsi="仿宋" w:eastAsia="仿宋"/>
          <w:sz w:val="30"/>
          <w:szCs w:val="30"/>
        </w:rPr>
        <w:t>医院</w:t>
      </w:r>
    </w:p>
    <w:p w14:paraId="525E736D">
      <w:pPr>
        <w:spacing w:line="360" w:lineRule="auto"/>
        <w:ind w:firstLine="600" w:firstLineChars="200"/>
        <w:rPr>
          <w:rFonts w:ascii="仿宋" w:hAnsi="仿宋" w:eastAsia="仿宋"/>
          <w:sz w:val="30"/>
          <w:szCs w:val="30"/>
        </w:rPr>
      </w:pPr>
      <w:r>
        <w:rPr>
          <w:rFonts w:ascii="仿宋" w:hAnsi="仿宋" w:eastAsia="仿宋"/>
          <w:sz w:val="30"/>
          <w:szCs w:val="30"/>
          <w:lang w:val="en-US" w:eastAsia="zh-CN"/>
        </w:rPr>
        <w:t>今承诺我公司本次承接浙江医院医疗责任保险项目，严格按照本次市场调研及后续招标要求执行服务报价，两年服务期内保费标准统一、无违规调价，所有服务收费合规透明，完全匹配项目采购需求，无隐形收费、变相收费情况。</w:t>
      </w:r>
    </w:p>
    <w:p w14:paraId="001F0C4B">
      <w:pPr>
        <w:spacing w:line="360" w:lineRule="auto"/>
        <w:ind w:firstLine="600" w:firstLineChars="200"/>
        <w:rPr>
          <w:rFonts w:ascii="仿宋" w:hAnsi="仿宋" w:eastAsia="仿宋"/>
          <w:sz w:val="30"/>
          <w:szCs w:val="30"/>
        </w:rPr>
      </w:pPr>
      <w:r>
        <w:rPr>
          <w:rFonts w:ascii="仿宋" w:hAnsi="仿宋" w:eastAsia="仿宋"/>
          <w:sz w:val="30"/>
          <w:szCs w:val="30"/>
          <w:lang w:val="en-US" w:eastAsia="zh-CN"/>
        </w:rPr>
        <w:t>我公司郑重承诺，严格遵守国家金融监管相关规定、保险行业规范及浙江医院项目要求，保质保量完成本次医疗责任保险全程服务。</w:t>
      </w:r>
    </w:p>
    <w:p w14:paraId="3D724F41">
      <w:pPr>
        <w:spacing w:line="360" w:lineRule="auto"/>
        <w:ind w:firstLine="600" w:firstLineChars="200"/>
        <w:rPr>
          <w:rFonts w:ascii="仿宋" w:hAnsi="仿宋" w:eastAsia="仿宋"/>
          <w:sz w:val="30"/>
          <w:szCs w:val="30"/>
        </w:rPr>
      </w:pPr>
      <w:r>
        <w:rPr>
          <w:rFonts w:ascii="仿宋" w:hAnsi="仿宋" w:eastAsia="仿宋"/>
          <w:sz w:val="30"/>
          <w:szCs w:val="30"/>
          <w:lang w:val="en-US" w:eastAsia="zh-CN"/>
        </w:rPr>
        <w:t>特此承诺！</w:t>
      </w:r>
    </w:p>
    <w:p w14:paraId="2ECF9905">
      <w:pPr>
        <w:rPr>
          <w:rFonts w:ascii="仿宋" w:hAnsi="仿宋" w:eastAsia="仿宋"/>
          <w:sz w:val="30"/>
          <w:szCs w:val="30"/>
        </w:rPr>
      </w:pPr>
    </w:p>
    <w:p w14:paraId="5D04B0EF">
      <w:pPr>
        <w:rPr>
          <w:rFonts w:ascii="仿宋" w:hAnsi="仿宋" w:eastAsia="仿宋"/>
          <w:sz w:val="30"/>
          <w:szCs w:val="30"/>
        </w:rPr>
      </w:pPr>
    </w:p>
    <w:p w14:paraId="00D2853D">
      <w:pPr>
        <w:rPr>
          <w:rFonts w:ascii="仿宋" w:hAnsi="仿宋" w:eastAsia="仿宋"/>
          <w:sz w:val="30"/>
          <w:szCs w:val="30"/>
        </w:rPr>
      </w:pPr>
    </w:p>
    <w:p w14:paraId="5876E18F">
      <w:pPr>
        <w:rPr>
          <w:rFonts w:ascii="仿宋" w:hAnsi="仿宋" w:eastAsia="仿宋"/>
          <w:sz w:val="30"/>
          <w:szCs w:val="30"/>
        </w:rPr>
      </w:pPr>
    </w:p>
    <w:p w14:paraId="5134383F">
      <w:pPr>
        <w:rPr>
          <w:rFonts w:ascii="仿宋" w:hAnsi="仿宋" w:eastAsia="仿宋"/>
          <w:sz w:val="30"/>
          <w:szCs w:val="30"/>
        </w:rPr>
      </w:pPr>
    </w:p>
    <w:p w14:paraId="24FFDDF3">
      <w:pPr>
        <w:rPr>
          <w:rFonts w:ascii="仿宋" w:hAnsi="仿宋" w:eastAsia="仿宋"/>
          <w:sz w:val="30"/>
          <w:szCs w:val="30"/>
        </w:rPr>
      </w:pPr>
    </w:p>
    <w:p w14:paraId="272CB9D2">
      <w:pPr>
        <w:rPr>
          <w:rFonts w:ascii="仿宋" w:hAnsi="仿宋" w:eastAsia="仿宋"/>
          <w:sz w:val="30"/>
          <w:szCs w:val="30"/>
        </w:rPr>
      </w:pPr>
    </w:p>
    <w:p w14:paraId="76AF95AA">
      <w:pPr>
        <w:ind w:firstLine="420"/>
        <w:rPr>
          <w:rFonts w:ascii="仿宋" w:hAnsi="仿宋" w:eastAsia="仿宋"/>
          <w:sz w:val="30"/>
          <w:szCs w:val="30"/>
        </w:rPr>
      </w:pPr>
      <w:r>
        <w:rPr>
          <w:rFonts w:hint="eastAsia" w:ascii="仿宋" w:hAnsi="仿宋" w:eastAsia="仿宋"/>
          <w:sz w:val="30"/>
          <w:szCs w:val="30"/>
        </w:rPr>
        <w:t xml:space="preserve">                        承诺公司（红章</w:t>
      </w:r>
      <w:r>
        <w:rPr>
          <w:rFonts w:ascii="仿宋" w:hAnsi="仿宋" w:eastAsia="仿宋"/>
          <w:sz w:val="30"/>
          <w:szCs w:val="30"/>
        </w:rPr>
        <w:t>）</w:t>
      </w:r>
      <w:r>
        <w:rPr>
          <w:rFonts w:hint="eastAsia" w:ascii="仿宋" w:hAnsi="仿宋" w:eastAsia="仿宋"/>
          <w:sz w:val="30"/>
          <w:szCs w:val="30"/>
        </w:rPr>
        <w:t>：</w:t>
      </w:r>
    </w:p>
    <w:p w14:paraId="3F451736">
      <w:pPr>
        <w:ind w:firstLine="420"/>
        <w:rPr>
          <w:rFonts w:ascii="仿宋" w:hAnsi="仿宋" w:eastAsia="仿宋"/>
          <w:sz w:val="30"/>
          <w:szCs w:val="30"/>
        </w:rPr>
      </w:pPr>
    </w:p>
    <w:p w14:paraId="35DBEE6C">
      <w:pPr>
        <w:ind w:firstLine="420"/>
        <w:rPr>
          <w:rFonts w:ascii="仿宋" w:hAnsi="仿宋" w:eastAsia="仿宋"/>
          <w:sz w:val="30"/>
          <w:szCs w:val="30"/>
        </w:rPr>
      </w:pPr>
      <w:r>
        <w:rPr>
          <w:rFonts w:hint="eastAsia" w:ascii="仿宋" w:hAnsi="仿宋" w:eastAsia="仿宋"/>
          <w:sz w:val="30"/>
          <w:szCs w:val="30"/>
        </w:rPr>
        <w:t xml:space="preserve">                        承诺人：</w:t>
      </w:r>
    </w:p>
    <w:p w14:paraId="65DC360F">
      <w:pPr>
        <w:ind w:firstLine="420"/>
        <w:rPr>
          <w:rFonts w:ascii="仿宋" w:hAnsi="仿宋" w:eastAsia="仿宋"/>
          <w:sz w:val="30"/>
          <w:szCs w:val="30"/>
        </w:rPr>
      </w:pPr>
    </w:p>
    <w:p w14:paraId="043E8791">
      <w:pPr>
        <w:ind w:firstLine="420"/>
        <w:rPr>
          <w:rFonts w:ascii="仿宋" w:hAnsi="仿宋" w:eastAsia="仿宋"/>
          <w:sz w:val="30"/>
          <w:szCs w:val="30"/>
        </w:rPr>
      </w:pPr>
      <w:r>
        <w:rPr>
          <w:rFonts w:hint="eastAsia" w:ascii="仿宋" w:hAnsi="仿宋" w:eastAsia="仿宋"/>
          <w:sz w:val="30"/>
          <w:szCs w:val="30"/>
        </w:rPr>
        <w:t xml:space="preserve">                        时间：</w:t>
      </w:r>
    </w:p>
    <w:p w14:paraId="41054068">
      <w:pPr>
        <w:widowControl/>
        <w:jc w:val="left"/>
        <w:rPr>
          <w:rFonts w:ascii="仿宋" w:hAnsi="仿宋" w:eastAsia="仿宋"/>
          <w:sz w:val="30"/>
          <w:szCs w:val="30"/>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r>
        <w:rPr>
          <w:rFonts w:ascii="仿宋" w:hAnsi="仿宋" w:eastAsia="仿宋"/>
          <w:sz w:val="30"/>
          <w:szCs w:val="30"/>
        </w:rPr>
        <w:br w:type="page"/>
      </w:r>
    </w:p>
    <w:p w14:paraId="26754A3B">
      <w:pPr>
        <w:spacing w:line="300" w:lineRule="auto"/>
        <w:rPr>
          <w:rFonts w:hint="default" w:ascii="仿宋" w:hAnsi="仿宋" w:eastAsia="仿宋"/>
          <w:b/>
          <w:color w:val="000000"/>
          <w:sz w:val="32"/>
          <w:szCs w:val="28"/>
          <w:lang w:val="en-US" w:eastAsia="zh-CN"/>
        </w:rPr>
      </w:pPr>
      <w:r>
        <w:rPr>
          <w:rFonts w:hint="eastAsia" w:ascii="仿宋" w:hAnsi="仿宋" w:eastAsia="仿宋"/>
          <w:b/>
          <w:color w:val="000000"/>
          <w:sz w:val="32"/>
          <w:szCs w:val="28"/>
        </w:rPr>
        <w:t>附件一 ：</w:t>
      </w:r>
      <w:r>
        <w:rPr>
          <w:rFonts w:hint="eastAsia" w:ascii="仿宋" w:hAnsi="仿宋" w:eastAsia="仿宋"/>
          <w:b/>
          <w:color w:val="000000"/>
          <w:sz w:val="32"/>
          <w:szCs w:val="28"/>
          <w:lang w:val="en-US" w:eastAsia="zh-CN"/>
        </w:rPr>
        <w:t>项目配置需求</w:t>
      </w:r>
    </w:p>
    <w:p w14:paraId="357367C6">
      <w:pPr>
        <w:pStyle w:val="2"/>
      </w:pPr>
      <w:r>
        <w:rPr>
          <w:rFonts w:hint="eastAsia"/>
          <w:b/>
          <w:bCs/>
          <w:lang w:val="en-US" w:eastAsia="zh-CN"/>
        </w:rPr>
        <w:t>一、</w:t>
      </w:r>
      <w:r>
        <w:rPr>
          <w:rFonts w:hint="eastAsia"/>
          <w:b/>
          <w:bCs/>
        </w:rPr>
        <w:t>核心参数要求</w:t>
      </w:r>
    </w:p>
    <w:p w14:paraId="485F081A">
      <w:pPr>
        <w:pStyle w:val="17"/>
        <w:rPr>
          <w:rFonts w:hint="eastAsia"/>
          <w:b/>
          <w:bCs/>
        </w:rPr>
      </w:pPr>
      <w:r>
        <w:rPr>
          <w:rFonts w:hint="eastAsia"/>
          <w:b/>
          <w:bCs/>
        </w:rPr>
        <w:t>产品资质要求</w:t>
      </w:r>
    </w:p>
    <w:p w14:paraId="2C070137">
      <w:pPr>
        <w:pStyle w:val="16"/>
        <w:numPr>
          <w:ilvl w:val="0"/>
          <w:numId w:val="0"/>
        </w:numPr>
        <w:rPr>
          <w:rFonts w:hint="eastAsia"/>
          <w:lang w:val="en-US" w:eastAsia="zh-CN"/>
        </w:rPr>
      </w:pPr>
      <w:r>
        <w:rPr>
          <w:rFonts w:hint="eastAsia"/>
          <w:lang w:val="en-US" w:eastAsia="zh-CN"/>
        </w:rPr>
        <w:t>1. 项目基础要求</w:t>
      </w:r>
    </w:p>
    <w:p w14:paraId="330FB7DE">
      <w:pPr>
        <w:pStyle w:val="16"/>
        <w:numPr>
          <w:ilvl w:val="0"/>
          <w:numId w:val="0"/>
        </w:numPr>
        <w:rPr>
          <w:rFonts w:hint="eastAsia"/>
          <w:lang w:val="en-US" w:eastAsia="zh-CN"/>
        </w:rPr>
      </w:pPr>
      <w:r>
        <w:rPr>
          <w:rFonts w:hint="eastAsia"/>
          <w:lang w:val="en-US" w:eastAsia="zh-CN"/>
        </w:rPr>
        <w:t>本项目服务范围覆盖浙江医院灵隐、三墩两大院区，服务期为2年，险种包含医疗责任险主险及多项附加险，采用期内发生、期内索赔承保基础，理赔追溯期2年，理赔时效有效期3年。供应商需成立专属项目服务团队，提供365天24小时无休报案、咨询受理服务，全程负责项目保险承保、纠纷调解、理赔处置等全流程工作。</w:t>
      </w:r>
    </w:p>
    <w:p w14:paraId="7B32DEED">
      <w:pPr>
        <w:pStyle w:val="16"/>
        <w:numPr>
          <w:ilvl w:val="0"/>
          <w:numId w:val="0"/>
        </w:numPr>
        <w:rPr>
          <w:rFonts w:hint="eastAsia"/>
          <w:lang w:val="en-US" w:eastAsia="zh-CN"/>
        </w:rPr>
      </w:pPr>
      <w:r>
        <w:rPr>
          <w:rFonts w:hint="eastAsia"/>
          <w:lang w:val="en-US" w:eastAsia="zh-CN"/>
        </w:rPr>
        <w:t>2. 保险保障责任及限额要求</w:t>
      </w:r>
    </w:p>
    <w:p w14:paraId="2D061398">
      <w:pPr>
        <w:pStyle w:val="16"/>
        <w:numPr>
          <w:ilvl w:val="0"/>
          <w:numId w:val="0"/>
        </w:numPr>
        <w:rPr>
          <w:rFonts w:hint="eastAsia"/>
          <w:lang w:val="en-US" w:eastAsia="zh-CN"/>
        </w:rPr>
      </w:pPr>
      <w:r>
        <w:rPr>
          <w:rFonts w:hint="eastAsia"/>
          <w:lang w:val="en-US" w:eastAsia="zh-CN"/>
        </w:rPr>
        <w:t>（1）基本医疗责任险：保障两大院区内医务人员诊疗护理过程中，因医疗过失、服务不当、告知不全、药品器械问题引发的医疗损害，包含对应诉讼费、鉴定费、律师费等相关法律费用。年度累计赔偿限额不低于150万元，每人每次赔偿限额不低于150万元。</w:t>
      </w:r>
    </w:p>
    <w:p w14:paraId="4527B37B">
      <w:pPr>
        <w:pStyle w:val="16"/>
        <w:numPr>
          <w:ilvl w:val="0"/>
          <w:numId w:val="0"/>
        </w:numPr>
        <w:rPr>
          <w:rFonts w:hint="eastAsia"/>
          <w:lang w:val="en-US" w:eastAsia="zh-CN"/>
        </w:rPr>
      </w:pPr>
      <w:r>
        <w:rPr>
          <w:rFonts w:hint="eastAsia"/>
          <w:lang w:val="en-US" w:eastAsia="zh-CN"/>
        </w:rPr>
        <w:t>（2）附加医疗机构场所责任保险：保障院区公共设施缺陷、管理维护不当、火灾爆炸、食源性疾患等导致的第三者人身及财产损害，年度累计赔偿限额150万元（共享主险额度），每次事故责任限额20万元。</w:t>
      </w:r>
    </w:p>
    <w:p w14:paraId="445A746A">
      <w:pPr>
        <w:pStyle w:val="16"/>
        <w:numPr>
          <w:ilvl w:val="0"/>
          <w:numId w:val="0"/>
        </w:numPr>
        <w:rPr>
          <w:rFonts w:hint="eastAsia"/>
          <w:lang w:val="en-US" w:eastAsia="zh-CN"/>
        </w:rPr>
      </w:pPr>
      <w:r>
        <w:rPr>
          <w:rFonts w:hint="eastAsia"/>
          <w:lang w:val="en-US" w:eastAsia="zh-CN"/>
        </w:rPr>
        <w:t>（3）附加医务人员人身保障保险：保障本院正式签约医务人员在诊疗工作中因医患纠纷遭受故意伤害产生的人身及财产损失，年度累计赔偿限额150万元（共享主险额度），每次事故责任限额20万元，第三方安保、护工等人员不在保障范围内。</w:t>
      </w:r>
    </w:p>
    <w:p w14:paraId="045B3B11">
      <w:pPr>
        <w:pStyle w:val="16"/>
        <w:numPr>
          <w:ilvl w:val="0"/>
          <w:numId w:val="0"/>
        </w:numPr>
        <w:rPr>
          <w:rFonts w:hint="eastAsia"/>
          <w:lang w:val="en-US" w:eastAsia="zh-CN"/>
        </w:rPr>
      </w:pPr>
      <w:r>
        <w:rPr>
          <w:rFonts w:hint="eastAsia"/>
          <w:lang w:val="en-US" w:eastAsia="zh-CN"/>
        </w:rPr>
        <w:t>3. 理赔时效要求</w:t>
      </w:r>
    </w:p>
    <w:p w14:paraId="041E4100">
      <w:pPr>
        <w:pStyle w:val="16"/>
        <w:numPr>
          <w:ilvl w:val="0"/>
          <w:numId w:val="0"/>
        </w:numPr>
        <w:rPr>
          <w:rFonts w:hint="eastAsia"/>
          <w:lang w:val="en-US" w:eastAsia="zh-CN"/>
        </w:rPr>
      </w:pPr>
      <w:r>
        <w:rPr>
          <w:rFonts w:hint="eastAsia"/>
          <w:lang w:val="en-US" w:eastAsia="zh-CN"/>
        </w:rPr>
        <w:t>（1）1万元以内案件：材料齐全后5个工作日内完成全额赔付；</w:t>
      </w:r>
    </w:p>
    <w:p w14:paraId="78A5A12D">
      <w:pPr>
        <w:pStyle w:val="16"/>
        <w:numPr>
          <w:ilvl w:val="0"/>
          <w:numId w:val="0"/>
        </w:numPr>
        <w:rPr>
          <w:rFonts w:hint="eastAsia"/>
          <w:lang w:val="en-US" w:eastAsia="zh-CN"/>
        </w:rPr>
      </w:pPr>
      <w:r>
        <w:rPr>
          <w:rFonts w:hint="eastAsia"/>
          <w:lang w:val="en-US" w:eastAsia="zh-CN"/>
        </w:rPr>
        <w:t>（2）1万-10万元案件：材料齐全后7个工作日内完成全额赔付；</w:t>
      </w:r>
    </w:p>
    <w:p w14:paraId="60D0AE56">
      <w:pPr>
        <w:pStyle w:val="16"/>
        <w:numPr>
          <w:ilvl w:val="0"/>
          <w:numId w:val="0"/>
        </w:numPr>
        <w:rPr>
          <w:rFonts w:hint="eastAsia"/>
          <w:lang w:val="en-US" w:eastAsia="zh-CN"/>
        </w:rPr>
      </w:pPr>
      <w:r>
        <w:rPr>
          <w:rFonts w:hint="eastAsia"/>
          <w:lang w:val="en-US" w:eastAsia="zh-CN"/>
        </w:rPr>
        <w:t>（3）10万元以上案件：材料齐全后10个工作日内完成全额赔付。</w:t>
      </w:r>
    </w:p>
    <w:p w14:paraId="5F4D1EA4">
      <w:pPr>
        <w:pStyle w:val="16"/>
        <w:numPr>
          <w:ilvl w:val="0"/>
          <w:numId w:val="0"/>
        </w:numPr>
        <w:rPr>
          <w:rFonts w:hint="eastAsia"/>
          <w:lang w:val="en-US" w:eastAsia="zh-CN"/>
        </w:rPr>
      </w:pPr>
      <w:r>
        <w:rPr>
          <w:rFonts w:hint="eastAsia"/>
          <w:lang w:val="en-US" w:eastAsia="zh-CN"/>
        </w:rPr>
        <w:t>4. 服务场地及人员配置要求</w:t>
      </w:r>
    </w:p>
    <w:p w14:paraId="67C27094">
      <w:pPr>
        <w:pStyle w:val="16"/>
        <w:numPr>
          <w:ilvl w:val="0"/>
          <w:numId w:val="0"/>
        </w:numPr>
        <w:rPr>
          <w:rFonts w:hint="eastAsia"/>
          <w:lang w:val="en-US" w:eastAsia="zh-CN"/>
        </w:rPr>
      </w:pPr>
      <w:r>
        <w:rPr>
          <w:rFonts w:hint="eastAsia"/>
          <w:lang w:val="en-US" w:eastAsia="zh-CN"/>
        </w:rPr>
        <w:t>中标供应商需在医院设立专属保险服务中心，配备不少于2名专职工作人员，设立专属授权代表，全职负责本院医疗纠纷调查、评估、协商、理赔对接、医调委对接等日常工作，定期通报项目赔付情况。</w:t>
      </w:r>
    </w:p>
    <w:p w14:paraId="25B06A00">
      <w:pPr>
        <w:pStyle w:val="16"/>
        <w:numPr>
          <w:ilvl w:val="0"/>
          <w:numId w:val="0"/>
        </w:numPr>
        <w:rPr>
          <w:rFonts w:hint="eastAsia"/>
          <w:lang w:val="en-US" w:eastAsia="zh-CN"/>
        </w:rPr>
      </w:pPr>
      <w:r>
        <w:rPr>
          <w:rFonts w:hint="eastAsia"/>
          <w:lang w:val="en-US" w:eastAsia="zh-CN"/>
        </w:rPr>
        <w:t>5. 纠纷处置流程要求</w:t>
      </w:r>
    </w:p>
    <w:p w14:paraId="4EC3F60D">
      <w:pPr>
        <w:pStyle w:val="16"/>
        <w:numPr>
          <w:ilvl w:val="0"/>
          <w:numId w:val="0"/>
        </w:numPr>
        <w:rPr>
          <w:rFonts w:hint="eastAsia"/>
          <w:lang w:val="en-US" w:eastAsia="zh-CN"/>
        </w:rPr>
      </w:pPr>
      <w:r>
        <w:rPr>
          <w:rFonts w:hint="eastAsia"/>
          <w:lang w:val="en-US" w:eastAsia="zh-CN"/>
        </w:rPr>
        <w:t>（1）报案响应：接到医院报案后30分钟内联系对接，及时赴现场处置纠纷；</w:t>
      </w:r>
    </w:p>
    <w:p w14:paraId="23C30FFC">
      <w:pPr>
        <w:pStyle w:val="16"/>
        <w:numPr>
          <w:ilvl w:val="0"/>
          <w:numId w:val="0"/>
        </w:numPr>
        <w:rPr>
          <w:rFonts w:hint="eastAsia"/>
          <w:lang w:val="en-US" w:eastAsia="zh-CN"/>
        </w:rPr>
      </w:pPr>
      <w:r>
        <w:rPr>
          <w:rFonts w:hint="eastAsia"/>
          <w:lang w:val="en-US" w:eastAsia="zh-CN"/>
        </w:rPr>
        <w:t>（2）调查取证：收齐材料后5个工作日内完成调查，出具书面调查分析报告并反馈医患双方；</w:t>
      </w:r>
    </w:p>
    <w:p w14:paraId="0AEA2F52">
      <w:pPr>
        <w:pStyle w:val="16"/>
        <w:numPr>
          <w:ilvl w:val="0"/>
          <w:numId w:val="0"/>
        </w:numPr>
        <w:rPr>
          <w:rFonts w:hint="eastAsia"/>
          <w:lang w:val="en-US" w:eastAsia="zh-CN"/>
        </w:rPr>
      </w:pPr>
      <w:r>
        <w:rPr>
          <w:rFonts w:hint="eastAsia"/>
          <w:lang w:val="en-US" w:eastAsia="zh-CN"/>
        </w:rPr>
        <w:t>（3）分级处置：1万元以下简易和解、1-10万元协商/调解处置、10万元以上经医调委或司法途径处置，全程跟进对接；</w:t>
      </w:r>
    </w:p>
    <w:p w14:paraId="2941E52F">
      <w:pPr>
        <w:pStyle w:val="16"/>
        <w:numPr>
          <w:ilvl w:val="0"/>
          <w:numId w:val="0"/>
        </w:numPr>
        <w:rPr>
          <w:rFonts w:hint="eastAsia"/>
          <w:lang w:val="en-US" w:eastAsia="zh-CN"/>
        </w:rPr>
      </w:pPr>
      <w:r>
        <w:rPr>
          <w:rFonts w:hint="eastAsia"/>
          <w:lang w:val="en-US" w:eastAsia="zh-CN"/>
        </w:rPr>
        <w:t>（4）定期复盘：每季度出具医疗纠纷处置及赔付分析报告，反馈院方。</w:t>
      </w:r>
    </w:p>
    <w:p w14:paraId="14CB9881">
      <w:pPr>
        <w:pStyle w:val="16"/>
        <w:numPr>
          <w:ilvl w:val="0"/>
          <w:numId w:val="0"/>
        </w:numPr>
      </w:pPr>
      <w:r>
        <w:rPr>
          <w:rFonts w:hint="eastAsia"/>
          <w:b/>
          <w:bCs/>
          <w:lang w:val="en-US" w:eastAsia="zh-CN"/>
        </w:rPr>
        <w:t>二</w:t>
      </w:r>
      <w:r>
        <w:rPr>
          <w:rFonts w:hint="eastAsia"/>
          <w:b/>
          <w:bCs/>
        </w:rPr>
        <w:t>、附加功能要求（非必选，但可作为评标加分项）</w:t>
      </w:r>
    </w:p>
    <w:p w14:paraId="6DA80E75">
      <w:pPr>
        <w:pStyle w:val="17"/>
        <w:rPr>
          <w:rFonts w:hint="eastAsia"/>
          <w:lang w:val="en-US" w:eastAsia="zh-CN"/>
        </w:rPr>
      </w:pPr>
      <w:r>
        <w:rPr>
          <w:rFonts w:hint="eastAsia"/>
          <w:lang w:val="en-US" w:eastAsia="zh-CN"/>
        </w:rPr>
        <w:t>1. 提供专属项目应急预案，针对医患纠纷突发情况、就诊高峰纠纷、突发公共卫生事件等场景制定专项处置方案；</w:t>
      </w:r>
    </w:p>
    <w:p w14:paraId="16D6F699">
      <w:pPr>
        <w:pStyle w:val="17"/>
        <w:rPr>
          <w:rFonts w:hint="eastAsia"/>
          <w:lang w:val="en-US" w:eastAsia="zh-CN"/>
        </w:rPr>
      </w:pPr>
      <w:r>
        <w:rPr>
          <w:rFonts w:hint="eastAsia"/>
          <w:lang w:val="en-US" w:eastAsia="zh-CN"/>
        </w:rPr>
        <w:t>2. 提供院内医务人员纠纷处理、医疗风险防控专项培训服务，定期开展风险宣教；</w:t>
      </w:r>
    </w:p>
    <w:p w14:paraId="39C8C9AB">
      <w:pPr>
        <w:pStyle w:val="17"/>
        <w:rPr>
          <w:rFonts w:hint="eastAsia"/>
          <w:lang w:val="en-US" w:eastAsia="zh-CN"/>
        </w:rPr>
      </w:pPr>
      <w:r>
        <w:rPr>
          <w:rFonts w:hint="eastAsia"/>
          <w:lang w:val="en-US" w:eastAsia="zh-CN"/>
        </w:rPr>
        <w:t>3. 建立完善投诉管控机制，制定专项投诉处理方案，有效降低医患纠纷投诉率；</w:t>
      </w:r>
    </w:p>
    <w:p w14:paraId="6B658837">
      <w:pPr>
        <w:pStyle w:val="17"/>
        <w:rPr>
          <w:rFonts w:hint="eastAsia"/>
          <w:lang w:val="en-US" w:eastAsia="zh-CN"/>
        </w:rPr>
      </w:pPr>
      <w:r>
        <w:rPr>
          <w:rFonts w:hint="eastAsia"/>
          <w:lang w:val="en-US" w:eastAsia="zh-CN"/>
        </w:rPr>
        <w:t>4. 承诺第一年赔偿总金额低于年度保险费用的，结余金额可结转至第二年用于保险赔偿；</w:t>
      </w:r>
    </w:p>
    <w:p w14:paraId="4A1DFAB2">
      <w:pPr>
        <w:pStyle w:val="17"/>
        <w:rPr>
          <w:rFonts w:hint="eastAsia"/>
          <w:lang w:val="en-US" w:eastAsia="zh-CN"/>
        </w:rPr>
      </w:pPr>
      <w:r>
        <w:rPr>
          <w:rFonts w:hint="eastAsia"/>
          <w:lang w:val="en-US" w:eastAsia="zh-CN"/>
        </w:rPr>
        <w:t>5. 提供定制化医疗风险评估服务，定期为医院梳理诊疗风险点并给出优化建议。</w:t>
      </w:r>
    </w:p>
    <w:p w14:paraId="06E946A6">
      <w:pPr>
        <w:pStyle w:val="17"/>
      </w:pPr>
      <w:r>
        <w:rPr>
          <w:rFonts w:hint="eastAsia"/>
          <w:b/>
          <w:bCs/>
          <w:lang w:val="en-US" w:eastAsia="zh-CN"/>
        </w:rPr>
        <w:t>三</w:t>
      </w:r>
      <w:r>
        <w:rPr>
          <w:rFonts w:hint="eastAsia"/>
          <w:b/>
          <w:bCs/>
        </w:rPr>
        <w:t>、售后服务要求</w:t>
      </w:r>
    </w:p>
    <w:p w14:paraId="5E1AAAA2">
      <w:pPr>
        <w:rPr>
          <w:rFonts w:hint="eastAsia"/>
          <w:lang w:val="en-US" w:eastAsia="zh-CN"/>
        </w:rPr>
      </w:pPr>
      <w:r>
        <w:rPr>
          <w:rFonts w:hint="eastAsia"/>
          <w:lang w:val="en-US" w:eastAsia="zh-CN"/>
        </w:rPr>
        <w:t>1. 团队保障：组建专属项目服务团队，配备专项负责人、理赔专员、纠纷调解员，全程对接项目事宜；</w:t>
      </w:r>
    </w:p>
    <w:p w14:paraId="17A0B2D7">
      <w:pPr>
        <w:rPr>
          <w:rFonts w:hint="eastAsia"/>
          <w:lang w:val="en-US" w:eastAsia="zh-CN"/>
        </w:rPr>
      </w:pPr>
      <w:r>
        <w:rPr>
          <w:rFonts w:hint="eastAsia"/>
          <w:lang w:val="en-US" w:eastAsia="zh-CN"/>
        </w:rPr>
        <w:t>2. 全天候服务：开通7×24小时咨询、报案、投诉热线，无节假日停工，保障服务不间断；</w:t>
      </w:r>
    </w:p>
    <w:p w14:paraId="0FFE707B">
      <w:pPr>
        <w:rPr>
          <w:rFonts w:hint="eastAsia"/>
          <w:lang w:val="en-US" w:eastAsia="zh-CN"/>
        </w:rPr>
      </w:pPr>
      <w:r>
        <w:rPr>
          <w:rFonts w:hint="eastAsia"/>
          <w:lang w:val="en-US" w:eastAsia="zh-CN"/>
        </w:rPr>
        <w:t>3. 应急保障：针对突发重大医疗纠纷、群体性事件等启动应急处置机制，快速介入、高效处置；</w:t>
      </w:r>
    </w:p>
    <w:p w14:paraId="2774070A">
      <w:pPr>
        <w:rPr>
          <w:rFonts w:hint="eastAsia"/>
          <w:lang w:val="en-US" w:eastAsia="zh-CN"/>
        </w:rPr>
      </w:pPr>
      <w:r>
        <w:rPr>
          <w:rFonts w:hint="eastAsia"/>
          <w:lang w:val="en-US" w:eastAsia="zh-CN"/>
        </w:rPr>
        <w:t>4. 台账管理：建立完整项目服务台账，包含报案记录、纠纷处置记录、理赔明细、赔付台账等，定期提交院方存档；</w:t>
      </w:r>
    </w:p>
    <w:p w14:paraId="4B4CCA81">
      <w:pPr>
        <w:rPr>
          <w:rFonts w:hint="eastAsia" w:ascii="仿宋" w:hAnsi="仿宋" w:eastAsia="仿宋"/>
          <w:b/>
          <w:color w:val="000000"/>
          <w:sz w:val="28"/>
          <w:szCs w:val="28"/>
        </w:rPr>
      </w:pPr>
      <w:r>
        <w:rPr>
          <w:rFonts w:hint="eastAsia"/>
          <w:lang w:val="en-US" w:eastAsia="zh-CN"/>
        </w:rPr>
        <w:t>5. 服务周期：整体服务期限为2年，全程履约保障。</w:t>
      </w:r>
      <w:r>
        <w:rPr>
          <w:rFonts w:hint="eastAsia" w:ascii="仿宋" w:hAnsi="仿宋" w:eastAsia="仿宋"/>
          <w:b/>
          <w:color w:val="000000"/>
          <w:sz w:val="28"/>
          <w:szCs w:val="28"/>
        </w:rPr>
        <w:br w:type="page"/>
      </w:r>
    </w:p>
    <w:p w14:paraId="0ACFB133">
      <w:pPr>
        <w:snapToGrid w:val="0"/>
        <w:spacing w:before="50" w:after="120" w:afterLines="50"/>
        <w:jc w:val="left"/>
        <w:rPr>
          <w:rFonts w:ascii="仿宋" w:hAnsi="仿宋" w:eastAsia="仿宋"/>
          <w:b/>
          <w:color w:val="000000"/>
          <w:sz w:val="28"/>
          <w:szCs w:val="28"/>
        </w:rPr>
      </w:pPr>
      <w:r>
        <w:rPr>
          <w:rFonts w:hint="eastAsia" w:ascii="仿宋" w:hAnsi="仿宋" w:eastAsia="仿宋"/>
          <w:b/>
          <w:color w:val="000000"/>
          <w:sz w:val="28"/>
          <w:szCs w:val="28"/>
        </w:rPr>
        <w:t>此页提供优惠方案：若有</w:t>
      </w:r>
    </w:p>
    <w:p w14:paraId="1502D696">
      <w:pPr>
        <w:snapToGrid w:val="0"/>
        <w:spacing w:before="50"/>
        <w:jc w:val="center"/>
        <w:rPr>
          <w:rFonts w:ascii="仿宋" w:hAnsi="仿宋" w:eastAsia="仿宋"/>
          <w:b/>
          <w:spacing w:val="40"/>
          <w:kern w:val="0"/>
          <w:sz w:val="28"/>
          <w:szCs w:val="28"/>
        </w:rPr>
      </w:pPr>
    </w:p>
    <w:p w14:paraId="79D21FE2">
      <w:pPr>
        <w:widowControl/>
        <w:jc w:val="left"/>
        <w:rPr>
          <w:rFonts w:ascii="仿宋" w:hAnsi="仿宋" w:eastAsia="仿宋"/>
          <w:b/>
          <w:spacing w:val="40"/>
          <w:kern w:val="0"/>
          <w:sz w:val="28"/>
          <w:szCs w:val="28"/>
        </w:rPr>
      </w:pPr>
      <w:r>
        <w:rPr>
          <w:rFonts w:ascii="仿宋" w:hAnsi="仿宋" w:eastAsia="仿宋"/>
          <w:b/>
          <w:spacing w:val="40"/>
          <w:kern w:val="0"/>
          <w:sz w:val="28"/>
          <w:szCs w:val="28"/>
        </w:rPr>
        <w:br w:type="page"/>
      </w:r>
    </w:p>
    <w:p w14:paraId="1464F57B">
      <w:pPr>
        <w:widowControl/>
        <w:jc w:val="left"/>
        <w:rPr>
          <w:rFonts w:ascii="仿宋" w:hAnsi="仿宋" w:eastAsia="仿宋"/>
          <w:b/>
          <w:spacing w:val="40"/>
          <w:kern w:val="0"/>
          <w:sz w:val="28"/>
          <w:szCs w:val="28"/>
        </w:rPr>
      </w:pPr>
    </w:p>
    <w:p w14:paraId="0DB2C824">
      <w:pPr>
        <w:snapToGrid w:val="0"/>
        <w:spacing w:before="50"/>
        <w:jc w:val="center"/>
        <w:rPr>
          <w:rFonts w:ascii="仿宋" w:hAnsi="仿宋" w:eastAsia="仿宋"/>
          <w:b/>
          <w:spacing w:val="40"/>
          <w:kern w:val="0"/>
          <w:sz w:val="28"/>
          <w:szCs w:val="28"/>
        </w:rPr>
      </w:pPr>
      <w:r>
        <w:rPr>
          <w:rFonts w:hint="eastAsia" w:ascii="仿宋" w:hAnsi="仿宋" w:eastAsia="仿宋"/>
          <w:b/>
          <w:spacing w:val="40"/>
          <w:kern w:val="0"/>
          <w:sz w:val="28"/>
          <w:szCs w:val="28"/>
        </w:rPr>
        <w:t>资信及商务响应表</w:t>
      </w:r>
    </w:p>
    <w:p w14:paraId="2E80EEC5">
      <w:pPr>
        <w:snapToGrid w:val="0"/>
        <w:spacing w:before="120" w:beforeLines="50" w:after="50" w:line="360" w:lineRule="auto"/>
        <w:jc w:val="center"/>
        <w:rPr>
          <w:rFonts w:ascii="仿宋" w:hAnsi="仿宋" w:eastAsia="仿宋"/>
          <w:sz w:val="30"/>
          <w:szCs w:val="30"/>
        </w:rPr>
      </w:pPr>
      <w:r>
        <w:rPr>
          <w:rFonts w:hint="eastAsia" w:ascii="仿宋" w:hAnsi="仿宋" w:eastAsia="仿宋"/>
          <w:b/>
          <w:sz w:val="30"/>
          <w:szCs w:val="30"/>
        </w:rPr>
        <w:t>投标人资格承诺函</w:t>
      </w:r>
    </w:p>
    <w:p w14:paraId="6BB1057D">
      <w:pPr>
        <w:snapToGrid w:val="0"/>
        <w:spacing w:before="120" w:beforeLines="50" w:after="50" w:line="360" w:lineRule="auto"/>
        <w:rPr>
          <w:rFonts w:ascii="仿宋" w:hAnsi="仿宋" w:eastAsia="仿宋"/>
          <w:sz w:val="24"/>
          <w:szCs w:val="20"/>
        </w:rPr>
      </w:pPr>
      <w:r>
        <w:rPr>
          <w:rFonts w:hint="eastAsia" w:ascii="仿宋" w:hAnsi="仿宋" w:eastAsia="仿宋"/>
          <w:sz w:val="24"/>
        </w:rPr>
        <w:t>致：</w:t>
      </w:r>
      <w:r>
        <w:rPr>
          <w:rFonts w:ascii="仿宋" w:hAnsi="仿宋" w:eastAsia="仿宋"/>
          <w:sz w:val="24"/>
        </w:rPr>
        <w:t>______</w:t>
      </w:r>
      <w:r>
        <w:rPr>
          <w:rFonts w:ascii="仿宋" w:hAnsi="仿宋" w:eastAsia="仿宋"/>
          <w:sz w:val="24"/>
          <w:u w:val="single"/>
        </w:rPr>
        <w:t>_     _</w:t>
      </w:r>
      <w:r>
        <w:rPr>
          <w:rFonts w:ascii="仿宋" w:hAnsi="仿宋" w:eastAsia="仿宋"/>
          <w:sz w:val="24"/>
        </w:rPr>
        <w:t>_</w:t>
      </w:r>
      <w:r>
        <w:rPr>
          <w:rFonts w:hint="eastAsia" w:ascii="仿宋" w:hAnsi="仿宋" w:eastAsia="仿宋"/>
          <w:sz w:val="24"/>
        </w:rPr>
        <w:t>：</w:t>
      </w:r>
    </w:p>
    <w:p w14:paraId="58CEE398">
      <w:pPr>
        <w:snapToGrid w:val="0"/>
        <w:spacing w:before="120" w:beforeLines="50" w:after="50" w:line="360" w:lineRule="auto"/>
        <w:ind w:firstLine="720" w:firstLineChars="300"/>
        <w:rPr>
          <w:rFonts w:ascii="仿宋" w:hAnsi="仿宋" w:eastAsia="仿宋"/>
          <w:sz w:val="24"/>
          <w:szCs w:val="20"/>
        </w:rPr>
      </w:pPr>
      <w:r>
        <w:rPr>
          <w:rFonts w:ascii="仿宋" w:hAnsi="仿宋" w:eastAsia="仿宋"/>
          <w:sz w:val="24"/>
        </w:rPr>
        <w:t>______</w:t>
      </w:r>
      <w:r>
        <w:rPr>
          <w:rFonts w:ascii="仿宋" w:hAnsi="仿宋" w:eastAsia="仿宋"/>
          <w:sz w:val="24"/>
          <w:u w:val="single"/>
        </w:rPr>
        <w:t>_     _</w:t>
      </w:r>
      <w:r>
        <w:rPr>
          <w:rFonts w:ascii="仿宋" w:hAnsi="仿宋" w:eastAsia="仿宋"/>
          <w:sz w:val="24"/>
        </w:rPr>
        <w:t>_</w:t>
      </w:r>
      <w:r>
        <w:rPr>
          <w:rFonts w:hint="eastAsia" w:ascii="仿宋" w:hAnsi="仿宋" w:eastAsia="仿宋"/>
          <w:sz w:val="24"/>
        </w:rPr>
        <w:t>（投标人名称）符合参加本次政府采购活动的资格条件并承诺如下。</w:t>
      </w:r>
    </w:p>
    <w:p w14:paraId="2973A782">
      <w:pPr>
        <w:snapToGrid w:val="0"/>
        <w:spacing w:before="120" w:beforeLines="50" w:after="50" w:line="360" w:lineRule="auto"/>
        <w:ind w:firstLine="480" w:firstLineChars="200"/>
        <w:rPr>
          <w:rFonts w:ascii="仿宋" w:hAnsi="仿宋" w:eastAsia="仿宋"/>
          <w:sz w:val="24"/>
        </w:rPr>
      </w:pPr>
      <w:r>
        <w:rPr>
          <w:rFonts w:hint="eastAsia" w:ascii="仿宋" w:hAnsi="仿宋" w:eastAsia="仿宋"/>
          <w:sz w:val="24"/>
        </w:rPr>
        <w:t>一、满足《中华人民共和国政府采购法》第二十二条规定</w:t>
      </w:r>
    </w:p>
    <w:p w14:paraId="174F7B85">
      <w:pPr>
        <w:snapToGrid w:val="0"/>
        <w:spacing w:before="120" w:beforeLines="50" w:after="50" w:line="360" w:lineRule="auto"/>
        <w:ind w:firstLine="480" w:firstLineChars="200"/>
        <w:rPr>
          <w:rFonts w:ascii="仿宋" w:hAnsi="仿宋" w:eastAsia="仿宋" w:cs="宋体"/>
          <w:kern w:val="0"/>
          <w:sz w:val="24"/>
        </w:rPr>
      </w:pPr>
      <w:r>
        <w:rPr>
          <w:rFonts w:hint="eastAsia" w:ascii="仿宋" w:hAnsi="仿宋" w:eastAsia="仿宋" w:cs="宋体"/>
          <w:kern w:val="0"/>
          <w:sz w:val="24"/>
        </w:rPr>
        <w:t>1、</w:t>
      </w:r>
      <w:r>
        <w:rPr>
          <w:rFonts w:ascii="仿宋" w:hAnsi="仿宋" w:eastAsia="仿宋" w:cs="宋体"/>
          <w:kern w:val="0"/>
          <w:sz w:val="24"/>
        </w:rPr>
        <w:t>具有独立承担民事责任的能力；</w:t>
      </w:r>
      <w:r>
        <w:rPr>
          <w:rFonts w:ascii="仿宋" w:hAnsi="仿宋" w:eastAsia="仿宋" w:cs="宋体"/>
          <w:kern w:val="0"/>
          <w:sz w:val="24"/>
        </w:rPr>
        <w:br w:type="textWrapping"/>
      </w:r>
      <w:r>
        <w:rPr>
          <w:rFonts w:hint="eastAsia" w:ascii="宋体" w:hAnsi="宋体" w:cs="宋体"/>
          <w:kern w:val="0"/>
          <w:sz w:val="24"/>
        </w:rPr>
        <w:t>  </w:t>
      </w:r>
      <w:r>
        <w:rPr>
          <w:rFonts w:hint="eastAsia" w:ascii="仿宋" w:hAnsi="仿宋" w:eastAsia="仿宋" w:cs="宋体"/>
          <w:kern w:val="0"/>
          <w:sz w:val="24"/>
        </w:rPr>
        <w:t>2、</w:t>
      </w:r>
      <w:r>
        <w:rPr>
          <w:rFonts w:ascii="仿宋" w:hAnsi="仿宋" w:eastAsia="仿宋" w:cs="宋体"/>
          <w:kern w:val="0"/>
          <w:sz w:val="24"/>
        </w:rPr>
        <w:t>具有良好的商业信誉和健全的财务会计制度；</w:t>
      </w:r>
      <w:r>
        <w:rPr>
          <w:rFonts w:ascii="仿宋" w:hAnsi="仿宋" w:eastAsia="仿宋" w:cs="宋体"/>
          <w:kern w:val="0"/>
          <w:sz w:val="24"/>
        </w:rPr>
        <w:br w:type="textWrapping"/>
      </w:r>
      <w:r>
        <w:rPr>
          <w:rFonts w:hint="eastAsia" w:ascii="宋体" w:hAnsi="宋体" w:cs="宋体"/>
          <w:kern w:val="0"/>
          <w:sz w:val="24"/>
        </w:rPr>
        <w:t>  </w:t>
      </w:r>
      <w:r>
        <w:rPr>
          <w:rFonts w:hint="eastAsia" w:ascii="仿宋" w:hAnsi="仿宋" w:eastAsia="仿宋" w:cs="宋体"/>
          <w:kern w:val="0"/>
          <w:sz w:val="24"/>
        </w:rPr>
        <w:t>3、</w:t>
      </w:r>
      <w:r>
        <w:rPr>
          <w:rFonts w:ascii="仿宋" w:hAnsi="仿宋" w:eastAsia="仿宋" w:cs="宋体"/>
          <w:kern w:val="0"/>
          <w:sz w:val="24"/>
        </w:rPr>
        <w:t>具有履行合同所必需的设备和专业技术能力；</w:t>
      </w:r>
      <w:r>
        <w:rPr>
          <w:rFonts w:ascii="仿宋" w:hAnsi="仿宋" w:eastAsia="仿宋" w:cs="宋体"/>
          <w:kern w:val="0"/>
          <w:sz w:val="24"/>
        </w:rPr>
        <w:br w:type="textWrapping"/>
      </w:r>
      <w:r>
        <w:rPr>
          <w:rFonts w:hint="eastAsia" w:ascii="宋体" w:hAnsi="宋体" w:cs="宋体"/>
          <w:kern w:val="0"/>
          <w:sz w:val="24"/>
        </w:rPr>
        <w:t>  </w:t>
      </w:r>
      <w:r>
        <w:rPr>
          <w:rFonts w:hint="eastAsia" w:ascii="仿宋" w:hAnsi="仿宋" w:eastAsia="仿宋" w:cs="宋体"/>
          <w:kern w:val="0"/>
          <w:sz w:val="24"/>
        </w:rPr>
        <w:t>4、</w:t>
      </w:r>
      <w:r>
        <w:rPr>
          <w:rFonts w:ascii="仿宋" w:hAnsi="仿宋" w:eastAsia="仿宋" w:cs="宋体"/>
          <w:kern w:val="0"/>
          <w:sz w:val="24"/>
        </w:rPr>
        <w:t>有依法缴纳税收和社会保障资金的良好记录；</w:t>
      </w:r>
      <w:r>
        <w:rPr>
          <w:rFonts w:ascii="仿宋" w:hAnsi="仿宋" w:eastAsia="仿宋" w:cs="宋体"/>
          <w:kern w:val="0"/>
          <w:sz w:val="24"/>
        </w:rPr>
        <w:br w:type="textWrapping"/>
      </w:r>
      <w:r>
        <w:rPr>
          <w:rFonts w:hint="eastAsia" w:ascii="宋体" w:hAnsi="宋体" w:cs="宋体"/>
          <w:kern w:val="0"/>
          <w:sz w:val="24"/>
        </w:rPr>
        <w:t>  </w:t>
      </w:r>
      <w:r>
        <w:rPr>
          <w:rFonts w:hint="eastAsia" w:ascii="仿宋" w:hAnsi="仿宋" w:eastAsia="仿宋" w:cs="宋体"/>
          <w:kern w:val="0"/>
          <w:sz w:val="24"/>
        </w:rPr>
        <w:t>5、</w:t>
      </w:r>
      <w:r>
        <w:rPr>
          <w:rFonts w:ascii="仿宋" w:hAnsi="仿宋" w:eastAsia="仿宋" w:cs="宋体"/>
          <w:kern w:val="0"/>
          <w:sz w:val="24"/>
        </w:rPr>
        <w:t>参加政府采购活动前三年内，在经营活动中没有重大违法记录；</w:t>
      </w:r>
    </w:p>
    <w:p w14:paraId="6BF21F2A">
      <w:pPr>
        <w:snapToGrid w:val="0"/>
        <w:spacing w:before="120" w:beforeLines="50" w:after="50" w:line="360" w:lineRule="auto"/>
        <w:ind w:firstLine="480" w:firstLineChars="200"/>
        <w:rPr>
          <w:rFonts w:ascii="仿宋" w:hAnsi="仿宋" w:eastAsia="仿宋" w:cs="宋体"/>
          <w:kern w:val="0"/>
          <w:sz w:val="24"/>
        </w:rPr>
      </w:pPr>
      <w:r>
        <w:rPr>
          <w:rFonts w:hint="eastAsia" w:ascii="仿宋" w:hAnsi="仿宋" w:eastAsia="仿宋" w:cs="宋体"/>
          <w:kern w:val="0"/>
          <w:sz w:val="24"/>
        </w:rPr>
        <w:t>二、未被“信用中国”（www.creditchina.gov.cn)、中国政府采购网（www.ccgp.gov.cn）列入失信被执行人、重大税收违法案件当事人名单、政府采购严重违法失信行为记录名单。</w:t>
      </w:r>
    </w:p>
    <w:p w14:paraId="2D79E9D1">
      <w:pPr>
        <w:snapToGrid w:val="0"/>
        <w:spacing w:line="360" w:lineRule="auto"/>
        <w:ind w:firstLine="480" w:firstLineChars="200"/>
        <w:rPr>
          <w:rFonts w:ascii="仿宋" w:hAnsi="仿宋" w:eastAsia="仿宋" w:cs="宋体"/>
          <w:i/>
          <w:kern w:val="0"/>
          <w:sz w:val="24"/>
        </w:rPr>
      </w:pPr>
    </w:p>
    <w:p w14:paraId="16FF689D">
      <w:pPr>
        <w:snapToGrid w:val="0"/>
        <w:spacing w:line="360" w:lineRule="auto"/>
        <w:ind w:firstLine="480" w:firstLineChars="200"/>
        <w:rPr>
          <w:rFonts w:ascii="仿宋" w:hAnsi="仿宋" w:eastAsia="仿宋" w:cs="宋体"/>
          <w:i/>
          <w:kern w:val="0"/>
          <w:sz w:val="24"/>
        </w:rPr>
      </w:pPr>
    </w:p>
    <w:p w14:paraId="2D7D5400">
      <w:pPr>
        <w:snapToGrid w:val="0"/>
        <w:spacing w:line="360" w:lineRule="auto"/>
        <w:ind w:firstLine="480" w:firstLineChars="200"/>
        <w:rPr>
          <w:rFonts w:ascii="仿宋" w:hAnsi="仿宋" w:eastAsia="仿宋" w:cs="宋体"/>
          <w:kern w:val="0"/>
          <w:sz w:val="24"/>
        </w:rPr>
      </w:pPr>
    </w:p>
    <w:p w14:paraId="1131E9AC">
      <w:pPr>
        <w:snapToGrid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本单位对上述承诺内容的真实性负责。如有虚假，将依法承担相应责任。</w:t>
      </w:r>
    </w:p>
    <w:p w14:paraId="6C3D8BFD">
      <w:pPr>
        <w:spacing w:line="360" w:lineRule="auto"/>
        <w:rPr>
          <w:rFonts w:ascii="仿宋" w:hAnsi="仿宋" w:eastAsia="仿宋"/>
          <w:sz w:val="24"/>
        </w:rPr>
      </w:pPr>
    </w:p>
    <w:p w14:paraId="206D3DD3">
      <w:pPr>
        <w:spacing w:line="360" w:lineRule="auto"/>
        <w:rPr>
          <w:rFonts w:ascii="仿宋" w:hAnsi="仿宋" w:eastAsia="仿宋"/>
          <w:sz w:val="24"/>
        </w:rPr>
      </w:pPr>
    </w:p>
    <w:p w14:paraId="3E372FF6">
      <w:pPr>
        <w:widowControl/>
        <w:spacing w:line="360" w:lineRule="auto"/>
        <w:jc w:val="left"/>
        <w:rPr>
          <w:rFonts w:ascii="仿宋" w:hAnsi="仿宋" w:eastAsia="仿宋"/>
          <w:sz w:val="24"/>
        </w:rPr>
      </w:pPr>
      <w:r>
        <w:rPr>
          <w:rFonts w:hint="eastAsia" w:ascii="仿宋" w:hAnsi="仿宋" w:eastAsia="仿宋"/>
          <w:sz w:val="24"/>
        </w:rPr>
        <w:t>投标人：</w:t>
      </w:r>
      <w:r>
        <w:rPr>
          <w:rFonts w:ascii="仿宋" w:hAnsi="仿宋" w:eastAsia="仿宋"/>
          <w:sz w:val="24"/>
          <w:u w:val="single"/>
        </w:rPr>
        <w:t xml:space="preserve">       </w:t>
      </w:r>
      <w:r>
        <w:rPr>
          <w:rFonts w:hint="eastAsia" w:ascii="仿宋" w:hAnsi="仿宋" w:eastAsia="仿宋"/>
          <w:sz w:val="24"/>
          <w:u w:val="single"/>
        </w:rPr>
        <w:t>（盖章）</w:t>
      </w:r>
      <w:r>
        <w:rPr>
          <w:rFonts w:ascii="仿宋" w:hAnsi="仿宋" w:eastAsia="仿宋"/>
          <w:sz w:val="24"/>
          <w:u w:val="single"/>
        </w:rPr>
        <w:t xml:space="preserve">        </w:t>
      </w:r>
      <w:r>
        <w:rPr>
          <w:rFonts w:ascii="仿宋" w:hAnsi="仿宋" w:eastAsia="仿宋"/>
          <w:sz w:val="24"/>
        </w:rPr>
        <w:t xml:space="preserve"> </w:t>
      </w:r>
    </w:p>
    <w:p w14:paraId="05BB3E1D">
      <w:pPr>
        <w:widowControl/>
        <w:spacing w:line="360" w:lineRule="auto"/>
        <w:jc w:val="left"/>
        <w:rPr>
          <w:rFonts w:ascii="仿宋" w:hAnsi="仿宋" w:eastAsia="仿宋"/>
          <w:sz w:val="24"/>
        </w:rPr>
      </w:pPr>
    </w:p>
    <w:p w14:paraId="41D5515E">
      <w:pPr>
        <w:widowControl/>
        <w:spacing w:line="360" w:lineRule="auto"/>
        <w:jc w:val="left"/>
        <w:rPr>
          <w:rFonts w:ascii="仿宋" w:hAnsi="仿宋" w:eastAsia="仿宋"/>
          <w:sz w:val="24"/>
        </w:rPr>
      </w:pPr>
    </w:p>
    <w:p w14:paraId="4E900063">
      <w:pPr>
        <w:widowControl/>
        <w:spacing w:line="360" w:lineRule="auto"/>
        <w:jc w:val="left"/>
        <w:rPr>
          <w:rFonts w:ascii="仿宋" w:hAnsi="仿宋" w:eastAsia="仿宋" w:cs="Arial"/>
          <w:kern w:val="0"/>
          <w:sz w:val="24"/>
        </w:rPr>
      </w:pPr>
      <w:r>
        <w:rPr>
          <w:rFonts w:ascii="仿宋" w:hAnsi="仿宋" w:eastAsia="仿宋"/>
          <w:sz w:val="24"/>
        </w:rPr>
        <w:t>年    月    日</w:t>
      </w:r>
    </w:p>
    <w:p w14:paraId="284E504B">
      <w:pPr>
        <w:snapToGrid w:val="0"/>
        <w:spacing w:before="120" w:beforeLines="50" w:after="50"/>
        <w:rPr>
          <w:rFonts w:ascii="仿宋" w:hAnsi="仿宋" w:eastAsia="仿宋"/>
          <w:b/>
          <w:sz w:val="30"/>
          <w:szCs w:val="30"/>
        </w:rPr>
      </w:pPr>
      <w:r>
        <w:rPr>
          <w:rFonts w:ascii="仿宋" w:hAnsi="仿宋" w:eastAsia="仿宋"/>
          <w:sz w:val="28"/>
          <w:szCs w:val="28"/>
        </w:rPr>
        <w:br w:type="page"/>
      </w:r>
    </w:p>
    <w:p w14:paraId="2B6D9458">
      <w:pPr>
        <w:widowControl/>
        <w:jc w:val="left"/>
        <w:rPr>
          <w:rFonts w:ascii="仿宋" w:hAnsi="仿宋" w:eastAsia="仿宋"/>
          <w:b/>
          <w:sz w:val="30"/>
          <w:szCs w:val="30"/>
        </w:rPr>
      </w:pPr>
      <w:r>
        <w:rPr>
          <w:rFonts w:hint="eastAsia" w:ascii="仿宋" w:hAnsi="仿宋" w:eastAsia="仿宋"/>
          <w:b/>
          <w:sz w:val="28"/>
          <w:szCs w:val="28"/>
        </w:rPr>
        <w:t>此页</w:t>
      </w:r>
      <w:r>
        <w:rPr>
          <w:rFonts w:hint="eastAsia" w:ascii="仿宋" w:hAnsi="仿宋" w:eastAsia="仿宋"/>
          <w:b/>
          <w:color w:val="000000"/>
          <w:sz w:val="28"/>
          <w:szCs w:val="28"/>
        </w:rPr>
        <w:t>提供符合年检要求的营业执照副本复印件</w:t>
      </w:r>
      <w:r>
        <w:rPr>
          <w:rFonts w:hint="eastAsia" w:ascii="仿宋" w:hAnsi="仿宋" w:eastAsia="仿宋"/>
          <w:b/>
          <w:sz w:val="30"/>
          <w:szCs w:val="30"/>
        </w:rPr>
        <w:t>（必须提供）</w:t>
      </w:r>
    </w:p>
    <w:p w14:paraId="095A060E">
      <w:pPr>
        <w:snapToGrid w:val="0"/>
        <w:spacing w:before="50"/>
        <w:jc w:val="left"/>
        <w:rPr>
          <w:rFonts w:ascii="仿宋" w:hAnsi="仿宋" w:eastAsia="仿宋"/>
          <w:b/>
          <w:color w:val="000000"/>
          <w:sz w:val="28"/>
          <w:szCs w:val="28"/>
        </w:rPr>
      </w:pPr>
    </w:p>
    <w:p w14:paraId="7130923F">
      <w:pPr>
        <w:widowControl/>
        <w:jc w:val="left"/>
        <w:rPr>
          <w:rFonts w:ascii="仿宋" w:hAnsi="仿宋" w:eastAsia="仿宋"/>
          <w:color w:val="000000"/>
          <w:sz w:val="28"/>
          <w:szCs w:val="28"/>
        </w:rPr>
      </w:pPr>
      <w:r>
        <w:rPr>
          <w:rFonts w:ascii="仿宋" w:hAnsi="仿宋" w:eastAsia="仿宋"/>
          <w:color w:val="000000"/>
          <w:sz w:val="28"/>
          <w:szCs w:val="28"/>
        </w:rPr>
        <w:br w:type="page"/>
      </w:r>
    </w:p>
    <w:p w14:paraId="7AA2F48A">
      <w:pPr>
        <w:widowControl/>
        <w:jc w:val="left"/>
        <w:rPr>
          <w:rFonts w:ascii="仿宋" w:hAnsi="仿宋" w:eastAsia="仿宋"/>
          <w:b/>
          <w:sz w:val="30"/>
          <w:szCs w:val="30"/>
        </w:rPr>
      </w:pPr>
      <w:r>
        <w:rPr>
          <w:rFonts w:hint="eastAsia" w:ascii="仿宋" w:hAnsi="仿宋" w:eastAsia="仿宋"/>
          <w:b/>
          <w:color w:val="000000"/>
          <w:sz w:val="28"/>
          <w:szCs w:val="28"/>
        </w:rPr>
        <w:t>此页提供经营许可证或生产许可证</w:t>
      </w:r>
      <w:r>
        <w:rPr>
          <w:rFonts w:hint="eastAsia" w:ascii="仿宋" w:hAnsi="仿宋" w:eastAsia="仿宋"/>
          <w:b/>
          <w:sz w:val="30"/>
          <w:szCs w:val="30"/>
        </w:rPr>
        <w:t>（必须提供）</w:t>
      </w:r>
    </w:p>
    <w:p w14:paraId="04DF497C">
      <w:pPr>
        <w:spacing w:line="300" w:lineRule="auto"/>
        <w:rPr>
          <w:rFonts w:ascii="仿宋" w:hAnsi="仿宋" w:eastAsia="仿宋"/>
          <w:b/>
          <w:color w:val="000000"/>
          <w:sz w:val="28"/>
          <w:szCs w:val="28"/>
        </w:rPr>
      </w:pPr>
    </w:p>
    <w:p w14:paraId="433E20F1">
      <w:pPr>
        <w:widowControl/>
        <w:jc w:val="left"/>
        <w:rPr>
          <w:rFonts w:ascii="仿宋" w:hAnsi="仿宋" w:eastAsia="仿宋"/>
          <w:color w:val="000000"/>
          <w:sz w:val="28"/>
          <w:szCs w:val="28"/>
        </w:rPr>
      </w:pPr>
      <w:r>
        <w:rPr>
          <w:rFonts w:ascii="仿宋" w:hAnsi="仿宋" w:eastAsia="仿宋"/>
          <w:color w:val="000000"/>
          <w:sz w:val="28"/>
          <w:szCs w:val="28"/>
        </w:rPr>
        <w:br w:type="page"/>
      </w:r>
    </w:p>
    <w:p w14:paraId="77A24AF7">
      <w:pPr>
        <w:widowControl/>
        <w:jc w:val="left"/>
        <w:rPr>
          <w:rFonts w:ascii="仿宋" w:hAnsi="仿宋" w:eastAsia="仿宋"/>
          <w:b/>
          <w:sz w:val="30"/>
          <w:szCs w:val="30"/>
        </w:rPr>
      </w:pPr>
      <w:r>
        <w:rPr>
          <w:rFonts w:hint="eastAsia" w:ascii="仿宋" w:hAnsi="仿宋" w:eastAsia="仿宋"/>
          <w:b/>
          <w:color w:val="000000"/>
          <w:sz w:val="28"/>
          <w:szCs w:val="28"/>
        </w:rPr>
        <w:t>此页提供试剂或耗材注册证及注册证登记表，提供原件</w:t>
      </w:r>
      <w:r>
        <w:rPr>
          <w:rFonts w:hint="eastAsia" w:ascii="仿宋" w:hAnsi="仿宋" w:eastAsia="仿宋"/>
          <w:b/>
          <w:sz w:val="30"/>
          <w:szCs w:val="30"/>
        </w:rPr>
        <w:t>（必须提供）</w:t>
      </w:r>
    </w:p>
    <w:p w14:paraId="5C52E394">
      <w:pPr>
        <w:spacing w:line="300" w:lineRule="auto"/>
        <w:rPr>
          <w:rFonts w:ascii="仿宋" w:hAnsi="仿宋" w:eastAsia="仿宋"/>
          <w:b/>
          <w:color w:val="000000"/>
          <w:sz w:val="28"/>
          <w:szCs w:val="28"/>
        </w:rPr>
      </w:pPr>
    </w:p>
    <w:p w14:paraId="4CD3D840">
      <w:pPr>
        <w:spacing w:line="300" w:lineRule="auto"/>
        <w:rPr>
          <w:rFonts w:ascii="仿宋" w:hAnsi="仿宋" w:eastAsia="仿宋"/>
          <w:color w:val="000000"/>
          <w:sz w:val="28"/>
          <w:szCs w:val="28"/>
        </w:rPr>
      </w:pPr>
      <w:r>
        <w:rPr>
          <w:rFonts w:ascii="仿宋" w:hAnsi="仿宋" w:eastAsia="仿宋"/>
          <w:color w:val="000000"/>
          <w:sz w:val="28"/>
          <w:szCs w:val="28"/>
        </w:rPr>
        <w:br w:type="page"/>
      </w:r>
    </w:p>
    <w:p w14:paraId="0A973202">
      <w:pPr>
        <w:widowControl/>
        <w:jc w:val="left"/>
        <w:rPr>
          <w:rFonts w:ascii="仿宋" w:hAnsi="仿宋" w:eastAsia="仿宋"/>
          <w:b/>
          <w:sz w:val="30"/>
          <w:szCs w:val="30"/>
        </w:rPr>
      </w:pPr>
      <w:r>
        <w:rPr>
          <w:rFonts w:hint="eastAsia" w:ascii="仿宋" w:hAnsi="仿宋" w:eastAsia="仿宋"/>
          <w:b/>
          <w:color w:val="000000"/>
          <w:sz w:val="28"/>
          <w:szCs w:val="28"/>
        </w:rPr>
        <w:t>此页提供分析软件注册证，请提供原件</w:t>
      </w:r>
      <w:r>
        <w:rPr>
          <w:rFonts w:hint="eastAsia" w:ascii="仿宋" w:hAnsi="仿宋" w:eastAsia="仿宋"/>
          <w:b/>
          <w:sz w:val="30"/>
          <w:szCs w:val="30"/>
        </w:rPr>
        <w:t>（必须提供）</w:t>
      </w:r>
    </w:p>
    <w:p w14:paraId="6F89BF87">
      <w:pPr>
        <w:spacing w:line="300" w:lineRule="auto"/>
        <w:rPr>
          <w:rFonts w:ascii="仿宋" w:hAnsi="仿宋" w:eastAsia="仿宋"/>
          <w:b/>
          <w:color w:val="000000"/>
          <w:sz w:val="28"/>
          <w:szCs w:val="28"/>
        </w:rPr>
        <w:sectPr>
          <w:pgSz w:w="11906" w:h="16838"/>
          <w:pgMar w:top="1247" w:right="1559" w:bottom="1474" w:left="1797" w:header="851" w:footer="851" w:gutter="0"/>
          <w:cols w:space="425" w:num="1"/>
          <w:docGrid w:linePitch="312" w:charSpace="0"/>
        </w:sectPr>
      </w:pPr>
    </w:p>
    <w:p w14:paraId="451EEB33">
      <w:pPr>
        <w:widowControl/>
        <w:jc w:val="left"/>
        <w:rPr>
          <w:rFonts w:ascii="仿宋" w:hAnsi="仿宋" w:eastAsia="仿宋"/>
          <w:b/>
          <w:sz w:val="30"/>
          <w:szCs w:val="30"/>
        </w:rPr>
      </w:pPr>
      <w:r>
        <w:rPr>
          <w:rFonts w:hint="eastAsia" w:ascii="仿宋" w:hAnsi="仿宋" w:eastAsia="仿宋"/>
          <w:b/>
          <w:color w:val="000000"/>
          <w:sz w:val="28"/>
          <w:szCs w:val="28"/>
        </w:rPr>
        <w:t>此页提供厂家授权书</w:t>
      </w:r>
      <w:r>
        <w:rPr>
          <w:rFonts w:hint="eastAsia" w:ascii="仿宋" w:hAnsi="仿宋" w:eastAsia="仿宋"/>
          <w:b/>
          <w:sz w:val="30"/>
          <w:szCs w:val="30"/>
        </w:rPr>
        <w:t>（必须提供）</w:t>
      </w:r>
    </w:p>
    <w:p w14:paraId="7088BC4C">
      <w:pPr>
        <w:spacing w:line="300" w:lineRule="auto"/>
        <w:rPr>
          <w:rFonts w:ascii="仿宋" w:hAnsi="仿宋" w:eastAsia="仿宋"/>
          <w:b/>
          <w:color w:val="000000"/>
          <w:sz w:val="28"/>
          <w:szCs w:val="28"/>
        </w:rPr>
      </w:pPr>
    </w:p>
    <w:p w14:paraId="031E05E6">
      <w:pPr>
        <w:widowControl/>
        <w:jc w:val="left"/>
        <w:rPr>
          <w:rFonts w:ascii="仿宋" w:hAnsi="仿宋" w:eastAsia="仿宋"/>
          <w:color w:val="000000"/>
          <w:sz w:val="28"/>
          <w:szCs w:val="28"/>
        </w:rPr>
      </w:pPr>
    </w:p>
    <w:p w14:paraId="6AA6D3C5">
      <w:pPr>
        <w:widowControl/>
        <w:jc w:val="left"/>
        <w:rPr>
          <w:rFonts w:ascii="仿宋" w:hAnsi="仿宋" w:eastAsia="仿宋"/>
          <w:color w:val="000000"/>
          <w:sz w:val="28"/>
          <w:szCs w:val="28"/>
        </w:rPr>
      </w:pPr>
      <w:r>
        <w:rPr>
          <w:rFonts w:ascii="仿宋" w:hAnsi="仿宋" w:eastAsia="仿宋"/>
          <w:color w:val="000000"/>
          <w:sz w:val="28"/>
          <w:szCs w:val="28"/>
        </w:rPr>
        <w:br w:type="page"/>
      </w:r>
    </w:p>
    <w:p w14:paraId="093FE970">
      <w:pPr>
        <w:widowControl/>
        <w:jc w:val="left"/>
        <w:rPr>
          <w:rFonts w:ascii="仿宋" w:hAnsi="仿宋" w:eastAsia="仿宋"/>
          <w:b/>
          <w:sz w:val="30"/>
          <w:szCs w:val="30"/>
        </w:rPr>
      </w:pPr>
      <w:r>
        <w:rPr>
          <w:rFonts w:ascii="仿宋" w:hAnsi="仿宋" w:eastAsia="仿宋"/>
          <w:b/>
          <w:color w:val="000000"/>
          <w:sz w:val="28"/>
          <w:szCs w:val="28"/>
        </w:rPr>
        <w:t>此页提供浙江省内用户名单</w:t>
      </w:r>
      <w:r>
        <w:rPr>
          <w:rFonts w:hint="eastAsia" w:ascii="仿宋" w:hAnsi="仿宋" w:eastAsia="仿宋"/>
          <w:b/>
          <w:color w:val="000000"/>
          <w:sz w:val="28"/>
          <w:szCs w:val="28"/>
        </w:rPr>
        <w:t>及采购日期、采购型号、政府招标编号、合同复印件</w:t>
      </w:r>
      <w:r>
        <w:rPr>
          <w:rFonts w:hint="eastAsia" w:ascii="仿宋" w:hAnsi="仿宋" w:eastAsia="仿宋"/>
          <w:b/>
          <w:sz w:val="30"/>
          <w:szCs w:val="30"/>
        </w:rPr>
        <w:t>（必须提供）</w:t>
      </w:r>
    </w:p>
    <w:p w14:paraId="66A3F170">
      <w:pPr>
        <w:spacing w:line="300" w:lineRule="auto"/>
        <w:rPr>
          <w:rFonts w:ascii="仿宋" w:hAnsi="仿宋" w:eastAsia="仿宋"/>
          <w:b/>
          <w:color w:val="000000"/>
          <w:sz w:val="28"/>
          <w:szCs w:val="28"/>
        </w:rPr>
      </w:pPr>
    </w:p>
    <w:p w14:paraId="0A770F71">
      <w:pPr>
        <w:widowControl/>
        <w:jc w:val="left"/>
        <w:rPr>
          <w:rFonts w:ascii="仿宋" w:hAnsi="仿宋" w:eastAsia="仿宋"/>
          <w:color w:val="000000"/>
          <w:sz w:val="28"/>
          <w:szCs w:val="28"/>
        </w:rPr>
      </w:pPr>
    </w:p>
    <w:p w14:paraId="2E77A7C9">
      <w:pPr>
        <w:widowControl/>
        <w:jc w:val="left"/>
        <w:rPr>
          <w:rFonts w:ascii="仿宋" w:hAnsi="仿宋" w:eastAsia="仿宋"/>
          <w:sz w:val="30"/>
          <w:szCs w:val="30"/>
        </w:rPr>
      </w:pPr>
      <w:r>
        <w:rPr>
          <w:rFonts w:ascii="仿宋" w:hAnsi="仿宋" w:eastAsia="仿宋"/>
          <w:sz w:val="30"/>
          <w:szCs w:val="30"/>
        </w:rPr>
        <w:br w:type="page"/>
      </w:r>
    </w:p>
    <w:p w14:paraId="2450E7CC">
      <w:pPr>
        <w:widowControl/>
        <w:jc w:val="left"/>
        <w:rPr>
          <w:rFonts w:ascii="仿宋" w:hAnsi="仿宋" w:eastAsia="仿宋"/>
          <w:b/>
          <w:sz w:val="30"/>
          <w:szCs w:val="30"/>
        </w:rPr>
      </w:pPr>
      <w:r>
        <w:rPr>
          <w:rFonts w:ascii="仿宋" w:hAnsi="仿宋" w:eastAsia="仿宋"/>
          <w:b/>
          <w:sz w:val="30"/>
          <w:szCs w:val="30"/>
        </w:rPr>
        <w:t>此页提供彩页</w:t>
      </w:r>
    </w:p>
    <w:p w14:paraId="002E94C9">
      <w:pPr>
        <w:keepNext w:val="0"/>
        <w:keepLines w:val="0"/>
        <w:widowControl/>
        <w:suppressLineNumbers w:val="0"/>
        <w:jc w:val="left"/>
      </w:pPr>
      <w:r>
        <w:rPr>
          <w:rFonts w:ascii="宋体" w:hAnsi="宋体" w:eastAsia="宋体" w:cs="宋体"/>
          <w:kern w:val="0"/>
          <w:sz w:val="24"/>
          <w:szCs w:val="24"/>
          <w:lang w:val="en-US" w:eastAsia="zh-CN" w:bidi="ar"/>
        </w:rPr>
        <w:t>1. 符合年检要求的营业执照副本复印件（加盖公章）；</w:t>
      </w:r>
    </w:p>
    <w:p w14:paraId="545E08F7">
      <w:pPr>
        <w:keepNext w:val="0"/>
        <w:keepLines w:val="0"/>
        <w:widowControl/>
        <w:suppressLineNumbers w:val="0"/>
        <w:jc w:val="left"/>
      </w:pPr>
      <w:r>
        <w:rPr>
          <w:rFonts w:ascii="宋体" w:hAnsi="宋体" w:eastAsia="宋体" w:cs="宋体"/>
          <w:kern w:val="0"/>
          <w:sz w:val="24"/>
          <w:szCs w:val="24"/>
          <w:lang w:val="en-US" w:eastAsia="zh-CN" w:bidi="ar"/>
        </w:rPr>
        <w:t>2. 保险经营许可证复印件（加盖公章）；</w:t>
      </w:r>
    </w:p>
    <w:p w14:paraId="3DB3BC35">
      <w:pPr>
        <w:keepNext w:val="0"/>
        <w:keepLines w:val="0"/>
        <w:widowControl/>
        <w:suppressLineNumbers w:val="0"/>
        <w:jc w:val="left"/>
      </w:pPr>
      <w:r>
        <w:rPr>
          <w:rFonts w:ascii="宋体" w:hAnsi="宋体" w:eastAsia="宋体" w:cs="宋体"/>
          <w:kern w:val="0"/>
          <w:sz w:val="24"/>
          <w:szCs w:val="24"/>
          <w:lang w:val="en-US" w:eastAsia="zh-CN" w:bidi="ar"/>
        </w:rPr>
        <w:t>3. 总公司最新年度综合偿付能力充足率证明文件；</w:t>
      </w:r>
    </w:p>
    <w:p w14:paraId="7068476D">
      <w:pPr>
        <w:keepNext w:val="0"/>
        <w:keepLines w:val="0"/>
        <w:widowControl/>
        <w:suppressLineNumbers w:val="0"/>
        <w:jc w:val="left"/>
      </w:pPr>
      <w:r>
        <w:rPr>
          <w:rFonts w:ascii="宋体" w:hAnsi="宋体" w:eastAsia="宋体" w:cs="宋体"/>
          <w:kern w:val="0"/>
          <w:sz w:val="24"/>
          <w:szCs w:val="24"/>
          <w:lang w:val="en-US" w:eastAsia="zh-CN" w:bidi="ar"/>
        </w:rPr>
        <w:t>4. 国家金融监督管理总局风险综合评价证明材料；</w:t>
      </w:r>
    </w:p>
    <w:p w14:paraId="40ACD829">
      <w:pPr>
        <w:keepNext w:val="0"/>
        <w:keepLines w:val="0"/>
        <w:widowControl/>
        <w:suppressLineNumbers w:val="0"/>
        <w:jc w:val="left"/>
      </w:pPr>
      <w:r>
        <w:rPr>
          <w:rFonts w:ascii="宋体" w:hAnsi="宋体" w:eastAsia="宋体" w:cs="宋体"/>
          <w:kern w:val="0"/>
          <w:sz w:val="24"/>
          <w:szCs w:val="24"/>
          <w:lang w:val="en-US" w:eastAsia="zh-CN" w:bidi="ar"/>
        </w:rPr>
        <w:t>5. 中国银保信官网（http://www.cbit.com.cn）出具的年度服务质量指数网页截图及证明材料；</w:t>
      </w:r>
    </w:p>
    <w:p w14:paraId="247384DB">
      <w:pPr>
        <w:keepNext w:val="0"/>
        <w:keepLines w:val="0"/>
        <w:widowControl/>
        <w:suppressLineNumbers w:val="0"/>
        <w:jc w:val="left"/>
      </w:pPr>
      <w:r>
        <w:rPr>
          <w:rFonts w:ascii="宋体" w:hAnsi="宋体" w:eastAsia="宋体" w:cs="宋体"/>
          <w:kern w:val="0"/>
          <w:sz w:val="24"/>
          <w:szCs w:val="24"/>
          <w:lang w:val="en-US" w:eastAsia="zh-CN" w:bidi="ar"/>
        </w:rPr>
        <w:t>6. 近三年三甲医院医疗责任保险同类项目业绩清单（含采购单位、合同时间、招标编号、合同复印件）；</w:t>
      </w:r>
    </w:p>
    <w:p w14:paraId="1B514059">
      <w:pPr>
        <w:keepNext w:val="0"/>
        <w:keepLines w:val="0"/>
        <w:widowControl/>
        <w:suppressLineNumbers w:val="0"/>
        <w:jc w:val="left"/>
      </w:pPr>
      <w:r>
        <w:rPr>
          <w:rFonts w:ascii="宋体" w:hAnsi="宋体" w:eastAsia="宋体" w:cs="宋体"/>
          <w:kern w:val="0"/>
          <w:sz w:val="24"/>
          <w:szCs w:val="24"/>
          <w:lang w:val="en-US" w:eastAsia="zh-CN" w:bidi="ar"/>
        </w:rPr>
        <w:t>7. 项目专属服务方案（含团队配置、理赔流程、应急预案、投诉处理、纠纷调解方案等）；</w:t>
      </w:r>
    </w:p>
    <w:p w14:paraId="5B34B063">
      <w:pPr>
        <w:keepNext w:val="0"/>
        <w:keepLines w:val="0"/>
        <w:widowControl/>
        <w:suppressLineNumbers w:val="0"/>
        <w:jc w:val="left"/>
      </w:pPr>
      <w:r>
        <w:rPr>
          <w:rFonts w:ascii="宋体" w:hAnsi="宋体" w:eastAsia="宋体" w:cs="宋体"/>
          <w:kern w:val="0"/>
          <w:sz w:val="24"/>
          <w:szCs w:val="24"/>
          <w:lang w:val="en-US" w:eastAsia="zh-CN" w:bidi="ar"/>
        </w:rPr>
        <w:t>8. 企业宣传</w:t>
      </w:r>
      <w:bookmarkStart w:id="0" w:name="_GoBack"/>
      <w:bookmarkEnd w:id="0"/>
      <w:r>
        <w:rPr>
          <w:rFonts w:ascii="宋体" w:hAnsi="宋体" w:eastAsia="宋体" w:cs="宋体"/>
          <w:kern w:val="0"/>
          <w:sz w:val="24"/>
          <w:szCs w:val="24"/>
          <w:lang w:val="en-US" w:eastAsia="zh-CN" w:bidi="ar"/>
        </w:rPr>
        <w:t>彩页、服务体系、质量标准等相关佐证材料。</w:t>
      </w:r>
    </w:p>
    <w:p w14:paraId="1574DC38">
      <w:pPr>
        <w:widowControl/>
        <w:jc w:val="left"/>
        <w:rPr>
          <w:rFonts w:ascii="仿宋" w:hAnsi="仿宋" w:eastAsia="仿宋"/>
          <w:sz w:val="30"/>
          <w:szCs w:val="30"/>
        </w:rPr>
      </w:pPr>
    </w:p>
    <w:sectPr>
      <w:headerReference r:id="rId7" w:type="default"/>
      <w:pgSz w:w="11906" w:h="16838"/>
      <w:pgMar w:top="1247" w:right="1559" w:bottom="1474" w:left="1797"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1FCDE">
    <w:pPr>
      <w:pStyle w:val="4"/>
      <w:framePr w:wrap="around" w:vAnchor="text" w:hAnchor="margin" w:xAlign="right" w:y="1"/>
      <w:rPr>
        <w:rStyle w:val="10"/>
      </w:rPr>
    </w:pPr>
    <w:r>
      <w:fldChar w:fldCharType="begin"/>
    </w:r>
    <w:r>
      <w:rPr>
        <w:rStyle w:val="10"/>
      </w:rPr>
      <w:instrText xml:space="preserve">PAGE  </w:instrText>
    </w:r>
    <w:r>
      <w:fldChar w:fldCharType="separate"/>
    </w:r>
    <w:r>
      <w:rPr>
        <w:rStyle w:val="10"/>
      </w:rPr>
      <w:t>2</w:t>
    </w:r>
    <w:r>
      <w:fldChar w:fldCharType="end"/>
    </w:r>
  </w:p>
  <w:p w14:paraId="489F8838">
    <w:pPr>
      <w:pStyle w:val="4"/>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1ABB9">
    <w:pPr>
      <w:pStyle w:val="4"/>
      <w:framePr w:wrap="around" w:vAnchor="text" w:hAnchor="margin" w:xAlign="right" w:y="1"/>
      <w:rPr>
        <w:rStyle w:val="10"/>
      </w:rPr>
    </w:pPr>
    <w:r>
      <w:fldChar w:fldCharType="begin"/>
    </w:r>
    <w:r>
      <w:rPr>
        <w:rStyle w:val="10"/>
      </w:rPr>
      <w:instrText xml:space="preserve">PAGE  </w:instrText>
    </w:r>
    <w:r>
      <w:fldChar w:fldCharType="end"/>
    </w:r>
  </w:p>
  <w:p w14:paraId="10272F24">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D17A6">
    <w:pPr>
      <w:pStyle w:val="4"/>
      <w:framePr w:wrap="around" w:vAnchor="text" w:hAnchor="margin" w:xAlign="right" w:y="1"/>
      <w:rPr>
        <w:rStyle w:val="10"/>
      </w:rPr>
    </w:pPr>
    <w:r>
      <w:fldChar w:fldCharType="begin"/>
    </w:r>
    <w:r>
      <w:rPr>
        <w:rStyle w:val="10"/>
      </w:rPr>
      <w:instrText xml:space="preserve">PAGE  </w:instrText>
    </w:r>
    <w:r>
      <w:fldChar w:fldCharType="separate"/>
    </w:r>
    <w:r>
      <w:rPr>
        <w:rStyle w:val="10"/>
      </w:rPr>
      <w:t>1</w:t>
    </w:r>
    <w:r>
      <w:fldChar w:fldCharType="end"/>
    </w:r>
  </w:p>
  <w:p w14:paraId="4A9CD7DC">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52949">
    <w:pPr>
      <w:pStyle w:val="5"/>
      <w:jc w:val="left"/>
    </w:pPr>
    <w:r>
      <w:drawing>
        <wp:inline distT="0" distB="0" distL="0" distR="0">
          <wp:extent cx="400050" cy="400050"/>
          <wp:effectExtent l="0" t="0" r="0" b="0"/>
          <wp:docPr id="2" name="图片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00050" cy="4000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8EF2F">
    <w:pPr>
      <w:pStyle w:val="5"/>
      <w:jc w:val="left"/>
    </w:pPr>
    <w:r>
      <w:drawing>
        <wp:inline distT="0" distB="0" distL="0" distR="0">
          <wp:extent cx="400050" cy="400050"/>
          <wp:effectExtent l="0" t="0" r="0" b="0"/>
          <wp:docPr id="1" name="图片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00050" cy="4000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36"/>
    <w:rsid w:val="000005D1"/>
    <w:rsid w:val="00007EE9"/>
    <w:rsid w:val="00010FA7"/>
    <w:rsid w:val="00020502"/>
    <w:rsid w:val="00023C37"/>
    <w:rsid w:val="00024CB2"/>
    <w:rsid w:val="00031C9D"/>
    <w:rsid w:val="000324A1"/>
    <w:rsid w:val="0005184E"/>
    <w:rsid w:val="00051AE6"/>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92B91"/>
    <w:rsid w:val="001A0A3E"/>
    <w:rsid w:val="001A23BB"/>
    <w:rsid w:val="001A618E"/>
    <w:rsid w:val="001B54C6"/>
    <w:rsid w:val="001B557D"/>
    <w:rsid w:val="001B5836"/>
    <w:rsid w:val="001B69C6"/>
    <w:rsid w:val="001C5E87"/>
    <w:rsid w:val="001C7A0A"/>
    <w:rsid w:val="001D5219"/>
    <w:rsid w:val="001E63A7"/>
    <w:rsid w:val="001F6454"/>
    <w:rsid w:val="002029CA"/>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C36"/>
    <w:rsid w:val="003D5A7C"/>
    <w:rsid w:val="003F5FD3"/>
    <w:rsid w:val="004103E3"/>
    <w:rsid w:val="004173FF"/>
    <w:rsid w:val="00417F42"/>
    <w:rsid w:val="00427726"/>
    <w:rsid w:val="00442F4F"/>
    <w:rsid w:val="00452AB2"/>
    <w:rsid w:val="00465808"/>
    <w:rsid w:val="0046715A"/>
    <w:rsid w:val="0047001C"/>
    <w:rsid w:val="004A4120"/>
    <w:rsid w:val="004A6E6E"/>
    <w:rsid w:val="004B4902"/>
    <w:rsid w:val="004C4CCD"/>
    <w:rsid w:val="004E5062"/>
    <w:rsid w:val="004E63C0"/>
    <w:rsid w:val="004F05F7"/>
    <w:rsid w:val="005022E4"/>
    <w:rsid w:val="0050323B"/>
    <w:rsid w:val="00513218"/>
    <w:rsid w:val="005141DA"/>
    <w:rsid w:val="00517F1F"/>
    <w:rsid w:val="005225D3"/>
    <w:rsid w:val="00557046"/>
    <w:rsid w:val="005609A0"/>
    <w:rsid w:val="00565806"/>
    <w:rsid w:val="00577530"/>
    <w:rsid w:val="0058382A"/>
    <w:rsid w:val="005847B4"/>
    <w:rsid w:val="00595074"/>
    <w:rsid w:val="005A06EF"/>
    <w:rsid w:val="005B536B"/>
    <w:rsid w:val="005C4181"/>
    <w:rsid w:val="005E33A2"/>
    <w:rsid w:val="005E7933"/>
    <w:rsid w:val="005F5D8C"/>
    <w:rsid w:val="00627BA1"/>
    <w:rsid w:val="006323B5"/>
    <w:rsid w:val="00643F2B"/>
    <w:rsid w:val="00646984"/>
    <w:rsid w:val="00660688"/>
    <w:rsid w:val="006636AB"/>
    <w:rsid w:val="00676098"/>
    <w:rsid w:val="00676482"/>
    <w:rsid w:val="00680F53"/>
    <w:rsid w:val="00691AE4"/>
    <w:rsid w:val="006A15CA"/>
    <w:rsid w:val="006B56EF"/>
    <w:rsid w:val="006C5344"/>
    <w:rsid w:val="006D3294"/>
    <w:rsid w:val="006D62C8"/>
    <w:rsid w:val="006E1297"/>
    <w:rsid w:val="006E48C5"/>
    <w:rsid w:val="006E4A01"/>
    <w:rsid w:val="006E6BE0"/>
    <w:rsid w:val="00711764"/>
    <w:rsid w:val="00716ABA"/>
    <w:rsid w:val="00716ED1"/>
    <w:rsid w:val="00724AE1"/>
    <w:rsid w:val="0073364E"/>
    <w:rsid w:val="00751FB8"/>
    <w:rsid w:val="007534C4"/>
    <w:rsid w:val="00765DD5"/>
    <w:rsid w:val="00776B52"/>
    <w:rsid w:val="0078603A"/>
    <w:rsid w:val="007A6A4B"/>
    <w:rsid w:val="007C197F"/>
    <w:rsid w:val="007C44A6"/>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A7C8E"/>
    <w:rsid w:val="00AC38D7"/>
    <w:rsid w:val="00AD0351"/>
    <w:rsid w:val="00AD5D77"/>
    <w:rsid w:val="00AD71C7"/>
    <w:rsid w:val="00AE57DC"/>
    <w:rsid w:val="00AE7CD1"/>
    <w:rsid w:val="00AF0543"/>
    <w:rsid w:val="00AF15F7"/>
    <w:rsid w:val="00AF5FCD"/>
    <w:rsid w:val="00B12DD6"/>
    <w:rsid w:val="00B226F7"/>
    <w:rsid w:val="00B471C3"/>
    <w:rsid w:val="00B71805"/>
    <w:rsid w:val="00B72D47"/>
    <w:rsid w:val="00B83A6D"/>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28E6"/>
    <w:rsid w:val="00C46C64"/>
    <w:rsid w:val="00C56552"/>
    <w:rsid w:val="00C618E5"/>
    <w:rsid w:val="00C63ED9"/>
    <w:rsid w:val="00C644A9"/>
    <w:rsid w:val="00C64A13"/>
    <w:rsid w:val="00C74210"/>
    <w:rsid w:val="00C86240"/>
    <w:rsid w:val="00C9144F"/>
    <w:rsid w:val="00C9280E"/>
    <w:rsid w:val="00C93FB8"/>
    <w:rsid w:val="00CA39E2"/>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66EAC"/>
    <w:rsid w:val="00D85347"/>
    <w:rsid w:val="00DA626B"/>
    <w:rsid w:val="00DB1791"/>
    <w:rsid w:val="00DB4794"/>
    <w:rsid w:val="00DC2000"/>
    <w:rsid w:val="00DE1799"/>
    <w:rsid w:val="00DF2A80"/>
    <w:rsid w:val="00DF387B"/>
    <w:rsid w:val="00DF7835"/>
    <w:rsid w:val="00E0526B"/>
    <w:rsid w:val="00E0579B"/>
    <w:rsid w:val="00E21F81"/>
    <w:rsid w:val="00E251AF"/>
    <w:rsid w:val="00E273BA"/>
    <w:rsid w:val="00E30F74"/>
    <w:rsid w:val="00E36A02"/>
    <w:rsid w:val="00E45217"/>
    <w:rsid w:val="00E60EB5"/>
    <w:rsid w:val="00E74663"/>
    <w:rsid w:val="00E76283"/>
    <w:rsid w:val="00E80C65"/>
    <w:rsid w:val="00EA5B93"/>
    <w:rsid w:val="00EA5E0C"/>
    <w:rsid w:val="00EB3453"/>
    <w:rsid w:val="00ED0D63"/>
    <w:rsid w:val="00ED10FA"/>
    <w:rsid w:val="00ED110D"/>
    <w:rsid w:val="00EE3933"/>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A7F69"/>
    <w:rsid w:val="00FB13F1"/>
    <w:rsid w:val="00FD457C"/>
    <w:rsid w:val="00FE425A"/>
    <w:rsid w:val="03101116"/>
    <w:rsid w:val="15592073"/>
    <w:rsid w:val="6E9A64FB"/>
    <w:rsid w:val="79D12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before="0" w:after="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0"/>
    <w:rPr>
      <w:sz w:val="18"/>
      <w:szCs w:val="18"/>
    </w:rPr>
  </w:style>
  <w:style w:type="character" w:customStyle="1" w:styleId="13">
    <w:name w:val="批注框文本 Char"/>
    <w:basedOn w:val="9"/>
    <w:link w:val="3"/>
    <w:semiHidden/>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paragraph" w:customStyle="1" w:styleId="15">
    <w:name w:val="彩色列表 - 强调文字颜色 11"/>
    <w:basedOn w:val="1"/>
    <w:qFormat/>
    <w:uiPriority w:val="34"/>
    <w:pPr>
      <w:ind w:firstLine="420" w:firstLineChars="200"/>
    </w:pPr>
    <w:rPr>
      <w:rFonts w:ascii="Calibri" w:hAnsi="Calibri"/>
      <w:szCs w:val="22"/>
    </w:rPr>
  </w:style>
  <w:style w:type="paragraph" w:customStyle="1" w:styleId="16">
    <w:name w:val="Compact"/>
    <w:basedOn w:val="2"/>
    <w:qFormat/>
    <w:uiPriority w:val="0"/>
    <w:pPr>
      <w:spacing w:before="0" w:after="0"/>
    </w:pPr>
  </w:style>
  <w:style w:type="paragraph" w:customStyle="1" w:styleId="17">
    <w:name w:val="First Paragraph"/>
    <w:basedOn w:val="2"/>
    <w:next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18681-AE12-4BDD-9100-1735FA83AD1C}">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1515</Words>
  <Characters>1586</Characters>
  <Lines>30</Lines>
  <Paragraphs>8</Paragraphs>
  <TotalTime>18</TotalTime>
  <ScaleCrop>false</ScaleCrop>
  <LinksUpToDate>false</LinksUpToDate>
  <CharactersWithSpaces>1739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2018-07-24T00:49:00Z</dcterms:created>
  <dc:creator>Estella</dc:creator>
  <cp:lastModifiedBy>‮‮‮‮‮‮下一你了亲并‭654-2</cp:lastModifiedBy>
  <dcterms:modified xsi:type="dcterms:W3CDTF">2026-07-24T03:19:22Z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eyJoZGlkIjoiZTE0OTZiOTdhZWEwN2ZhZWM5M2MyZmY1NTY1MjBlNjAiLCJ1c2VySWQiOiIyMzE5MDczNjIifQ==</vt:lpwstr>
  </property>
  <property fmtid="{D5CDD505-2E9C-101B-9397-08002B2CF9AE}" pid="3" name="KSOProductBuildVer">
    <vt:lpwstr>2052-12.1.0.26895</vt:lpwstr>
  </property>
  <property fmtid="{D5CDD505-2E9C-101B-9397-08002B2CF9AE}" pid="4" name="ICV">
    <vt:lpwstr>35BA702C95F74F8A8DA4191B0731801C_12</vt:lpwstr>
  </property>
</Properties>
</file>